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867" w:tblpY="3966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2"/>
        <w:gridCol w:w="1248"/>
        <w:gridCol w:w="1080"/>
        <w:gridCol w:w="5716"/>
      </w:tblGrid>
      <w:tr w:rsidR="00693583" w14:paraId="58153318" w14:textId="77777777">
        <w:trPr>
          <w:trHeight w:val="620"/>
        </w:trPr>
        <w:tc>
          <w:tcPr>
            <w:tcW w:w="1972" w:type="dxa"/>
            <w:vAlign w:val="center"/>
          </w:tcPr>
          <w:p w14:paraId="1F8B20D0" w14:textId="77777777" w:rsidR="00693583" w:rsidRDefault="00F00069">
            <w:pPr>
              <w:wordWrap w:val="0"/>
              <w:spacing w:line="300" w:lineRule="atLeast"/>
              <w:jc w:val="center"/>
              <w:textAlignment w:val="baseline"/>
              <w:rPr>
                <w:sz w:val="23"/>
              </w:rPr>
            </w:pPr>
            <w:bookmarkStart w:id="0" w:name="_GoBack"/>
            <w:bookmarkEnd w:id="0"/>
            <w:r>
              <w:rPr>
                <w:rFonts w:ascii="黑体" w:eastAsia="黑体" w:hAnsi="黑体" w:cs="黑体" w:hint="eastAsia"/>
                <w:color w:val="000000"/>
                <w:sz w:val="23"/>
              </w:rPr>
              <w:t>评分</w:t>
            </w:r>
            <w:r>
              <w:rPr>
                <w:rFonts w:ascii="黑体" w:eastAsia="黑体" w:hAnsi="黑体" w:cs="黑体"/>
                <w:color w:val="000000"/>
                <w:sz w:val="23"/>
              </w:rPr>
              <w:t>项目</w:t>
            </w:r>
          </w:p>
        </w:tc>
        <w:tc>
          <w:tcPr>
            <w:tcW w:w="1248" w:type="dxa"/>
            <w:vAlign w:val="center"/>
          </w:tcPr>
          <w:p w14:paraId="4C8D0793" w14:textId="77777777" w:rsidR="00693583" w:rsidRDefault="00F00069">
            <w:pPr>
              <w:wordWrap w:val="0"/>
              <w:spacing w:line="300" w:lineRule="atLeast"/>
              <w:jc w:val="center"/>
              <w:textAlignment w:val="baseline"/>
              <w:rPr>
                <w:sz w:val="23"/>
              </w:rPr>
            </w:pPr>
            <w:r>
              <w:rPr>
                <w:rFonts w:ascii="黑体" w:eastAsia="黑体" w:hAnsi="黑体" w:cs="黑体"/>
                <w:color w:val="000000"/>
                <w:sz w:val="23"/>
              </w:rPr>
              <w:t>权重</w:t>
            </w:r>
          </w:p>
        </w:tc>
        <w:tc>
          <w:tcPr>
            <w:tcW w:w="1080" w:type="dxa"/>
            <w:vAlign w:val="center"/>
          </w:tcPr>
          <w:p w14:paraId="5C41CDE3" w14:textId="77777777" w:rsidR="00693583" w:rsidRDefault="00F00069">
            <w:pPr>
              <w:wordWrap w:val="0"/>
              <w:spacing w:line="300" w:lineRule="atLeast"/>
              <w:jc w:val="center"/>
              <w:textAlignment w:val="baseline"/>
              <w:rPr>
                <w:sz w:val="23"/>
              </w:rPr>
            </w:pPr>
            <w:r>
              <w:rPr>
                <w:rFonts w:ascii="黑体" w:eastAsia="黑体" w:hAnsi="黑体" w:cs="黑体"/>
                <w:color w:val="000000"/>
                <w:sz w:val="23"/>
              </w:rPr>
              <w:t>分值</w:t>
            </w:r>
          </w:p>
        </w:tc>
        <w:tc>
          <w:tcPr>
            <w:tcW w:w="5716" w:type="dxa"/>
            <w:vAlign w:val="center"/>
          </w:tcPr>
          <w:p w14:paraId="75E9C249" w14:textId="77777777" w:rsidR="00693583" w:rsidRDefault="00F00069">
            <w:pPr>
              <w:wordWrap w:val="0"/>
              <w:spacing w:line="300" w:lineRule="atLeast"/>
              <w:jc w:val="center"/>
              <w:textAlignment w:val="baseline"/>
              <w:rPr>
                <w:sz w:val="23"/>
              </w:rPr>
            </w:pPr>
            <w:r>
              <w:rPr>
                <w:rFonts w:ascii="黑体" w:eastAsia="黑体" w:hAnsi="黑体" w:cs="黑体" w:hint="eastAsia"/>
                <w:color w:val="000000"/>
                <w:sz w:val="23"/>
              </w:rPr>
              <w:t>评分标准</w:t>
            </w:r>
          </w:p>
        </w:tc>
      </w:tr>
      <w:tr w:rsidR="00693583" w14:paraId="1642E780" w14:textId="77777777">
        <w:trPr>
          <w:trHeight w:val="1540"/>
        </w:trPr>
        <w:tc>
          <w:tcPr>
            <w:tcW w:w="1972" w:type="dxa"/>
            <w:vAlign w:val="center"/>
          </w:tcPr>
          <w:p w14:paraId="0A9B133F" w14:textId="77777777" w:rsidR="00693583" w:rsidRDefault="00F00069">
            <w:pPr>
              <w:wordWrap w:val="0"/>
              <w:spacing w:line="320" w:lineRule="atLeast"/>
              <w:ind w:left="380"/>
              <w:jc w:val="center"/>
              <w:textAlignment w:val="baseline"/>
              <w:rPr>
                <w:rFonts w:ascii="黑体" w:eastAsia="黑体" w:hAnsi="黑体" w:cs="黑体"/>
                <w:color w:val="000000"/>
                <w:sz w:val="23"/>
              </w:rPr>
            </w:pPr>
            <w:r>
              <w:rPr>
                <w:rFonts w:ascii="黑体" w:eastAsia="黑体" w:hAnsi="黑体" w:cs="黑体" w:hint="eastAsia"/>
                <w:color w:val="000000"/>
                <w:sz w:val="23"/>
              </w:rPr>
              <w:t>服务报价</w:t>
            </w:r>
          </w:p>
          <w:p w14:paraId="6A103524" w14:textId="77777777" w:rsidR="00693583" w:rsidRDefault="00F00069">
            <w:pPr>
              <w:wordWrap w:val="0"/>
              <w:spacing w:line="320" w:lineRule="atLeast"/>
              <w:ind w:left="380"/>
              <w:jc w:val="center"/>
              <w:textAlignment w:val="baseline"/>
              <w:rPr>
                <w:rFonts w:ascii="黑体" w:eastAsia="黑体" w:hAnsi="黑体" w:cs="黑体"/>
                <w:color w:val="000000"/>
                <w:sz w:val="23"/>
              </w:rPr>
            </w:pPr>
            <w:r>
              <w:rPr>
                <w:rFonts w:ascii="黑体" w:eastAsia="黑体" w:hAnsi="黑体" w:cs="黑体"/>
                <w:color w:val="000000"/>
                <w:sz w:val="23"/>
              </w:rPr>
              <w:t>(</w:t>
            </w:r>
            <w:r>
              <w:rPr>
                <w:rFonts w:ascii="黑体" w:eastAsia="黑体" w:hAnsi="黑体" w:cs="黑体" w:hint="eastAsia"/>
                <w:color w:val="000000"/>
                <w:sz w:val="23"/>
              </w:rPr>
              <w:t>3</w:t>
            </w:r>
            <w:r>
              <w:rPr>
                <w:rFonts w:ascii="黑体" w:eastAsia="黑体" w:hAnsi="黑体" w:cs="黑体"/>
                <w:color w:val="000000"/>
                <w:sz w:val="23"/>
              </w:rPr>
              <w:t>0%)</w:t>
            </w:r>
          </w:p>
        </w:tc>
        <w:tc>
          <w:tcPr>
            <w:tcW w:w="1248" w:type="dxa"/>
            <w:vAlign w:val="center"/>
          </w:tcPr>
          <w:p w14:paraId="701F23B0" w14:textId="77777777" w:rsidR="00693583" w:rsidRDefault="00F00069">
            <w:pPr>
              <w:wordWrap w:val="0"/>
              <w:spacing w:line="300" w:lineRule="atLeast"/>
              <w:jc w:val="center"/>
              <w:textAlignment w:val="baseline"/>
              <w:rPr>
                <w:rFonts w:ascii="黑体" w:eastAsia="黑体" w:hAnsi="黑体" w:cs="黑体"/>
                <w:color w:val="000000"/>
                <w:sz w:val="23"/>
              </w:rPr>
            </w:pPr>
            <w:r>
              <w:rPr>
                <w:rFonts w:ascii="黑体" w:eastAsia="黑体" w:hAnsi="黑体" w:cs="黑体" w:hint="eastAsia"/>
                <w:color w:val="000000"/>
                <w:sz w:val="23"/>
              </w:rPr>
              <w:t>30</w:t>
            </w:r>
            <w:r>
              <w:rPr>
                <w:rFonts w:ascii="黑体" w:eastAsia="黑体" w:hAnsi="黑体" w:cs="黑体"/>
                <w:color w:val="000000"/>
                <w:sz w:val="23"/>
              </w:rPr>
              <w:t>%</w:t>
            </w:r>
          </w:p>
        </w:tc>
        <w:tc>
          <w:tcPr>
            <w:tcW w:w="1080" w:type="dxa"/>
            <w:vAlign w:val="center"/>
          </w:tcPr>
          <w:p w14:paraId="73FD1860" w14:textId="77777777" w:rsidR="00693583" w:rsidRDefault="00F00069">
            <w:pPr>
              <w:wordWrap w:val="0"/>
              <w:spacing w:line="320" w:lineRule="atLeast"/>
              <w:ind w:left="280"/>
              <w:textAlignment w:val="baseline"/>
              <w:rPr>
                <w:rFonts w:ascii="黑体" w:eastAsia="黑体" w:hAnsi="黑体" w:cs="黑体"/>
                <w:color w:val="000000"/>
                <w:sz w:val="23"/>
              </w:rPr>
            </w:pPr>
            <w:r>
              <w:rPr>
                <w:rFonts w:ascii="黑体" w:eastAsia="黑体" w:hAnsi="黑体" w:cs="黑体" w:hint="eastAsia"/>
                <w:color w:val="000000"/>
                <w:sz w:val="23"/>
              </w:rPr>
              <w:t>30</w:t>
            </w:r>
            <w:r>
              <w:rPr>
                <w:rFonts w:ascii="黑体" w:eastAsia="黑体" w:hAnsi="黑体" w:cs="黑体"/>
                <w:color w:val="000000"/>
                <w:sz w:val="23"/>
              </w:rPr>
              <w:t>分</w:t>
            </w:r>
          </w:p>
        </w:tc>
        <w:tc>
          <w:tcPr>
            <w:tcW w:w="5716" w:type="dxa"/>
            <w:vAlign w:val="center"/>
          </w:tcPr>
          <w:p w14:paraId="5F2F8D64" w14:textId="77777777" w:rsidR="00693583" w:rsidRDefault="00F00069">
            <w:pPr>
              <w:wordWrap w:val="0"/>
              <w:spacing w:line="300" w:lineRule="atLeast"/>
              <w:textAlignment w:val="baseline"/>
              <w:rPr>
                <w:rFonts w:eastAsia="黑体"/>
                <w:sz w:val="23"/>
              </w:rPr>
            </w:pPr>
            <w:r>
              <w:rPr>
                <w:rFonts w:ascii="黑体" w:eastAsia="黑体" w:hAnsi="黑体" w:cs="黑体"/>
                <w:color w:val="000000"/>
                <w:sz w:val="23"/>
              </w:rPr>
              <w:t>以所有有效报价的</w:t>
            </w:r>
            <w:r>
              <w:rPr>
                <w:rFonts w:ascii="黑体" w:eastAsia="黑体" w:hAnsi="黑体" w:cs="黑体" w:hint="eastAsia"/>
                <w:color w:val="000000"/>
                <w:sz w:val="23"/>
              </w:rPr>
              <w:t>算术平均价作为</w:t>
            </w:r>
            <w:r>
              <w:rPr>
                <w:rFonts w:ascii="黑体" w:eastAsia="黑体" w:hAnsi="黑体" w:cs="黑体"/>
                <w:color w:val="000000"/>
                <w:sz w:val="23"/>
              </w:rPr>
              <w:t>基准价，供应商的价格</w:t>
            </w:r>
            <w:proofErr w:type="gramStart"/>
            <w:r>
              <w:rPr>
                <w:rFonts w:ascii="黑体" w:eastAsia="黑体" w:hAnsi="黑体" w:cs="黑体"/>
                <w:color w:val="000000"/>
                <w:sz w:val="23"/>
              </w:rPr>
              <w:t>分按照</w:t>
            </w:r>
            <w:proofErr w:type="gramEnd"/>
            <w:r>
              <w:rPr>
                <w:rFonts w:ascii="黑体" w:eastAsia="黑体" w:hAnsi="黑体" w:cs="黑体"/>
                <w:color w:val="000000"/>
                <w:sz w:val="23"/>
              </w:rPr>
              <w:t xml:space="preserve"> (</w:t>
            </w:r>
            <w:r>
              <w:rPr>
                <w:rFonts w:ascii="黑体" w:eastAsia="黑体" w:hAnsi="黑体" w:cs="黑体"/>
                <w:color w:val="000000"/>
                <w:sz w:val="23"/>
              </w:rPr>
              <w:t>基准价</w:t>
            </w:r>
            <w:r>
              <w:rPr>
                <w:rFonts w:ascii="黑体" w:eastAsia="黑体" w:hAnsi="黑体" w:cs="黑体"/>
                <w:color w:val="000000"/>
                <w:sz w:val="23"/>
              </w:rPr>
              <w:t>/</w:t>
            </w:r>
            <w:r>
              <w:rPr>
                <w:rFonts w:ascii="黑体" w:eastAsia="黑体" w:hAnsi="黑体" w:cs="黑体"/>
                <w:color w:val="000000"/>
                <w:sz w:val="23"/>
              </w:rPr>
              <w:t>报价</w:t>
            </w:r>
            <w:r>
              <w:rPr>
                <w:rFonts w:ascii="黑体" w:eastAsia="黑体" w:hAnsi="黑体" w:cs="黑体"/>
                <w:color w:val="000000"/>
                <w:sz w:val="23"/>
              </w:rPr>
              <w:t>)×</w:t>
            </w:r>
            <w:r>
              <w:rPr>
                <w:rFonts w:ascii="黑体" w:eastAsia="黑体" w:hAnsi="黑体" w:cs="黑体" w:hint="eastAsia"/>
                <w:color w:val="000000"/>
                <w:sz w:val="23"/>
              </w:rPr>
              <w:t>30</w:t>
            </w:r>
            <w:r>
              <w:rPr>
                <w:rFonts w:ascii="黑体" w:eastAsia="黑体" w:hAnsi="黑体" w:cs="黑体"/>
                <w:color w:val="000000"/>
                <w:sz w:val="23"/>
              </w:rPr>
              <w:t>分公式计算</w:t>
            </w:r>
            <w:r>
              <w:rPr>
                <w:rFonts w:ascii="黑体" w:eastAsia="黑体" w:hAnsi="黑体" w:cs="黑体" w:hint="eastAsia"/>
                <w:color w:val="000000"/>
                <w:sz w:val="23"/>
              </w:rPr>
              <w:t>，</w:t>
            </w:r>
            <w:r>
              <w:rPr>
                <w:rFonts w:ascii="黑体" w:eastAsia="黑体" w:hAnsi="黑体" w:cs="黑体" w:hint="eastAsia"/>
                <w:color w:val="000000"/>
                <w:sz w:val="23"/>
              </w:rPr>
              <w:t>最高得</w:t>
            </w:r>
            <w:r>
              <w:rPr>
                <w:rFonts w:ascii="黑体" w:eastAsia="黑体" w:hAnsi="黑体" w:cs="黑体" w:hint="eastAsia"/>
                <w:color w:val="000000"/>
                <w:sz w:val="23"/>
              </w:rPr>
              <w:t>30</w:t>
            </w:r>
            <w:r>
              <w:rPr>
                <w:rFonts w:ascii="黑体" w:eastAsia="黑体" w:hAnsi="黑体" w:cs="黑体" w:hint="eastAsia"/>
                <w:color w:val="000000"/>
                <w:sz w:val="23"/>
              </w:rPr>
              <w:t>分</w:t>
            </w:r>
          </w:p>
        </w:tc>
      </w:tr>
      <w:tr w:rsidR="00693583" w14:paraId="0AA60A41" w14:textId="77777777">
        <w:trPr>
          <w:trHeight w:val="1560"/>
        </w:trPr>
        <w:tc>
          <w:tcPr>
            <w:tcW w:w="1972" w:type="dxa"/>
            <w:vAlign w:val="center"/>
          </w:tcPr>
          <w:p w14:paraId="0E17DC9B" w14:textId="77777777" w:rsidR="00693583" w:rsidRDefault="00F00069">
            <w:pPr>
              <w:wordWrap w:val="0"/>
              <w:spacing w:line="320" w:lineRule="atLeast"/>
              <w:ind w:left="280"/>
              <w:jc w:val="center"/>
              <w:textAlignment w:val="baseline"/>
              <w:rPr>
                <w:rFonts w:ascii="黑体" w:eastAsia="黑体" w:hAnsi="黑体" w:cs="黑体"/>
                <w:color w:val="000000"/>
                <w:sz w:val="23"/>
              </w:rPr>
            </w:pPr>
            <w:r>
              <w:rPr>
                <w:rFonts w:ascii="黑体" w:eastAsia="黑体" w:hAnsi="黑体" w:cs="黑体" w:hint="eastAsia"/>
                <w:color w:val="000000"/>
                <w:sz w:val="23"/>
              </w:rPr>
              <w:t>氛围营造与文化创意</w:t>
            </w:r>
          </w:p>
          <w:p w14:paraId="44990EB4" w14:textId="77777777" w:rsidR="00693583" w:rsidRDefault="00F00069">
            <w:pPr>
              <w:wordWrap w:val="0"/>
              <w:spacing w:line="320" w:lineRule="atLeast"/>
              <w:ind w:left="280"/>
              <w:jc w:val="center"/>
              <w:textAlignment w:val="baseline"/>
              <w:rPr>
                <w:sz w:val="23"/>
              </w:rPr>
            </w:pPr>
            <w:r>
              <w:rPr>
                <w:rFonts w:ascii="黑体" w:eastAsia="黑体" w:hAnsi="黑体" w:cs="黑体"/>
                <w:color w:val="000000"/>
                <w:sz w:val="23"/>
              </w:rPr>
              <w:t>(</w:t>
            </w:r>
            <w:r>
              <w:rPr>
                <w:rFonts w:ascii="黑体" w:eastAsia="黑体" w:hAnsi="黑体" w:cs="黑体" w:hint="eastAsia"/>
                <w:color w:val="000000"/>
                <w:sz w:val="23"/>
              </w:rPr>
              <w:t>4</w:t>
            </w:r>
            <w:r>
              <w:rPr>
                <w:rFonts w:ascii="黑体" w:eastAsia="黑体" w:hAnsi="黑体" w:cs="黑体"/>
                <w:color w:val="000000"/>
                <w:sz w:val="23"/>
              </w:rPr>
              <w:t>0%)</w:t>
            </w:r>
          </w:p>
        </w:tc>
        <w:tc>
          <w:tcPr>
            <w:tcW w:w="1248" w:type="dxa"/>
            <w:vAlign w:val="center"/>
          </w:tcPr>
          <w:p w14:paraId="161B74A4" w14:textId="77777777" w:rsidR="00693583" w:rsidRDefault="00F00069">
            <w:pPr>
              <w:wordWrap w:val="0"/>
              <w:spacing w:line="300" w:lineRule="atLeast"/>
              <w:jc w:val="center"/>
              <w:textAlignment w:val="baseline"/>
              <w:rPr>
                <w:sz w:val="23"/>
              </w:rPr>
            </w:pPr>
            <w:r>
              <w:rPr>
                <w:rFonts w:ascii="黑体" w:eastAsia="黑体" w:hAnsi="黑体" w:cs="黑体" w:hint="eastAsia"/>
                <w:color w:val="000000"/>
                <w:sz w:val="23"/>
              </w:rPr>
              <w:t>40</w:t>
            </w:r>
            <w:r>
              <w:rPr>
                <w:rFonts w:ascii="黑体" w:eastAsia="黑体" w:hAnsi="黑体" w:cs="黑体"/>
                <w:color w:val="000000"/>
                <w:sz w:val="23"/>
              </w:rPr>
              <w:t>%</w:t>
            </w:r>
          </w:p>
        </w:tc>
        <w:tc>
          <w:tcPr>
            <w:tcW w:w="1080" w:type="dxa"/>
            <w:vAlign w:val="center"/>
          </w:tcPr>
          <w:p w14:paraId="19691114" w14:textId="77777777" w:rsidR="00693583" w:rsidRDefault="00F00069">
            <w:pPr>
              <w:wordWrap w:val="0"/>
              <w:spacing w:line="320" w:lineRule="atLeast"/>
              <w:ind w:left="280"/>
              <w:textAlignment w:val="baseline"/>
              <w:rPr>
                <w:sz w:val="23"/>
              </w:rPr>
            </w:pPr>
            <w:r>
              <w:rPr>
                <w:rFonts w:ascii="黑体" w:eastAsia="黑体" w:hAnsi="黑体" w:cs="黑体" w:hint="eastAsia"/>
                <w:color w:val="000000"/>
                <w:sz w:val="23"/>
              </w:rPr>
              <w:t>40</w:t>
            </w:r>
            <w:r>
              <w:rPr>
                <w:rFonts w:ascii="黑体" w:eastAsia="黑体" w:hAnsi="黑体" w:cs="黑体"/>
                <w:color w:val="000000"/>
                <w:sz w:val="23"/>
              </w:rPr>
              <w:t>分</w:t>
            </w:r>
          </w:p>
        </w:tc>
        <w:tc>
          <w:tcPr>
            <w:tcW w:w="5716" w:type="dxa"/>
            <w:vAlign w:val="center"/>
          </w:tcPr>
          <w:p w14:paraId="789B0000" w14:textId="77777777" w:rsidR="00693583" w:rsidRDefault="00F00069">
            <w:pPr>
              <w:wordWrap w:val="0"/>
              <w:spacing w:line="300" w:lineRule="atLeast"/>
              <w:textAlignment w:val="baseline"/>
              <w:rPr>
                <w:rFonts w:eastAsia="宋体"/>
                <w:sz w:val="23"/>
              </w:rPr>
            </w:pPr>
            <w:r>
              <w:rPr>
                <w:rFonts w:ascii="黑体" w:eastAsia="黑体" w:hAnsi="黑体" w:cs="黑体" w:hint="eastAsia"/>
                <w:color w:val="000000"/>
                <w:sz w:val="23"/>
              </w:rPr>
              <w:t>对商家提供的布展服务设计方案的氛围营造、文化创意，活动契合度及遂宁校区校园文化的融合程度由高到低排序，第一名满分，第二名得</w:t>
            </w:r>
            <w:r>
              <w:rPr>
                <w:rFonts w:ascii="黑体" w:eastAsia="黑体" w:hAnsi="黑体" w:cs="黑体" w:hint="eastAsia"/>
                <w:color w:val="000000"/>
                <w:sz w:val="23"/>
              </w:rPr>
              <w:t>35</w:t>
            </w:r>
            <w:r>
              <w:rPr>
                <w:rFonts w:ascii="黑体" w:eastAsia="黑体" w:hAnsi="黑体" w:cs="黑体" w:hint="eastAsia"/>
                <w:color w:val="000000"/>
                <w:sz w:val="23"/>
              </w:rPr>
              <w:t>分，第三名得</w:t>
            </w:r>
            <w:r>
              <w:rPr>
                <w:rFonts w:ascii="黑体" w:eastAsia="黑体" w:hAnsi="黑体" w:cs="黑体" w:hint="eastAsia"/>
                <w:color w:val="000000"/>
                <w:sz w:val="23"/>
              </w:rPr>
              <w:t>30</w:t>
            </w:r>
            <w:r>
              <w:rPr>
                <w:rFonts w:ascii="黑体" w:eastAsia="黑体" w:hAnsi="黑体" w:cs="黑体" w:hint="eastAsia"/>
                <w:color w:val="000000"/>
                <w:sz w:val="23"/>
              </w:rPr>
              <w:t>分，依此类推。</w:t>
            </w:r>
          </w:p>
        </w:tc>
      </w:tr>
      <w:tr w:rsidR="00693583" w14:paraId="6302B598" w14:textId="77777777">
        <w:trPr>
          <w:trHeight w:val="1540"/>
        </w:trPr>
        <w:tc>
          <w:tcPr>
            <w:tcW w:w="1972" w:type="dxa"/>
            <w:vAlign w:val="center"/>
          </w:tcPr>
          <w:p w14:paraId="1067E1FC" w14:textId="77777777" w:rsidR="00693583" w:rsidRDefault="00F00069">
            <w:pPr>
              <w:wordWrap w:val="0"/>
              <w:spacing w:line="320" w:lineRule="atLeast"/>
              <w:ind w:left="380"/>
              <w:jc w:val="center"/>
              <w:textAlignment w:val="baseline"/>
              <w:rPr>
                <w:rFonts w:ascii="黑体" w:eastAsia="黑体" w:hAnsi="黑体" w:cs="黑体"/>
                <w:color w:val="000000"/>
                <w:sz w:val="23"/>
              </w:rPr>
            </w:pPr>
            <w:r>
              <w:rPr>
                <w:rFonts w:ascii="黑体" w:eastAsia="黑体" w:hAnsi="黑体" w:cs="黑体" w:hint="eastAsia"/>
                <w:color w:val="000000"/>
                <w:sz w:val="23"/>
              </w:rPr>
              <w:t>履约能力</w:t>
            </w:r>
            <w:r>
              <w:rPr>
                <w:rFonts w:ascii="黑体" w:eastAsia="黑体" w:hAnsi="黑体" w:cs="黑体"/>
                <w:color w:val="000000"/>
                <w:sz w:val="23"/>
              </w:rPr>
              <w:t>(</w:t>
            </w:r>
            <w:r>
              <w:rPr>
                <w:rFonts w:ascii="黑体" w:eastAsia="黑体" w:hAnsi="黑体" w:cs="黑体" w:hint="eastAsia"/>
                <w:color w:val="000000"/>
                <w:sz w:val="23"/>
              </w:rPr>
              <w:t>10</w:t>
            </w:r>
            <w:r>
              <w:rPr>
                <w:rFonts w:ascii="黑体" w:eastAsia="黑体" w:hAnsi="黑体" w:cs="黑体"/>
                <w:color w:val="000000"/>
                <w:sz w:val="23"/>
              </w:rPr>
              <w:t>%)</w:t>
            </w:r>
          </w:p>
        </w:tc>
        <w:tc>
          <w:tcPr>
            <w:tcW w:w="1248" w:type="dxa"/>
            <w:vAlign w:val="center"/>
          </w:tcPr>
          <w:p w14:paraId="092093F9" w14:textId="77777777" w:rsidR="00693583" w:rsidRDefault="00F00069">
            <w:pPr>
              <w:wordWrap w:val="0"/>
              <w:spacing w:line="300" w:lineRule="atLeast"/>
              <w:jc w:val="center"/>
              <w:textAlignment w:val="baseline"/>
              <w:rPr>
                <w:rFonts w:ascii="黑体" w:eastAsia="黑体" w:hAnsi="黑体" w:cs="黑体"/>
                <w:color w:val="000000"/>
                <w:sz w:val="23"/>
              </w:rPr>
            </w:pPr>
            <w:r>
              <w:rPr>
                <w:rFonts w:ascii="黑体" w:eastAsia="黑体" w:hAnsi="黑体" w:cs="黑体" w:hint="eastAsia"/>
                <w:color w:val="000000"/>
                <w:sz w:val="23"/>
              </w:rPr>
              <w:t>10</w:t>
            </w:r>
            <w:r>
              <w:rPr>
                <w:rFonts w:ascii="黑体" w:eastAsia="黑体" w:hAnsi="黑体" w:cs="黑体"/>
                <w:color w:val="000000"/>
                <w:sz w:val="23"/>
              </w:rPr>
              <w:t>%</w:t>
            </w:r>
          </w:p>
        </w:tc>
        <w:tc>
          <w:tcPr>
            <w:tcW w:w="1080" w:type="dxa"/>
            <w:vAlign w:val="center"/>
          </w:tcPr>
          <w:p w14:paraId="42889946" w14:textId="77777777" w:rsidR="00693583" w:rsidRDefault="00F00069">
            <w:pPr>
              <w:wordWrap w:val="0"/>
              <w:spacing w:line="320" w:lineRule="atLeast"/>
              <w:ind w:left="280"/>
              <w:textAlignment w:val="baseline"/>
              <w:rPr>
                <w:rFonts w:ascii="黑体" w:eastAsia="黑体" w:hAnsi="黑体" w:cs="黑体"/>
                <w:color w:val="000000"/>
                <w:sz w:val="23"/>
              </w:rPr>
            </w:pPr>
            <w:r>
              <w:rPr>
                <w:rFonts w:ascii="黑体" w:eastAsia="黑体" w:hAnsi="黑体" w:cs="黑体" w:hint="eastAsia"/>
                <w:color w:val="000000"/>
                <w:sz w:val="23"/>
              </w:rPr>
              <w:t>10</w:t>
            </w:r>
            <w:r>
              <w:rPr>
                <w:rFonts w:ascii="黑体" w:eastAsia="黑体" w:hAnsi="黑体" w:cs="黑体"/>
                <w:color w:val="000000"/>
                <w:sz w:val="23"/>
              </w:rPr>
              <w:t>分</w:t>
            </w:r>
          </w:p>
        </w:tc>
        <w:tc>
          <w:tcPr>
            <w:tcW w:w="5716" w:type="dxa"/>
            <w:vAlign w:val="center"/>
          </w:tcPr>
          <w:p w14:paraId="34B140B1" w14:textId="77777777" w:rsidR="00693583" w:rsidRDefault="00F00069">
            <w:pPr>
              <w:wordWrap w:val="0"/>
              <w:spacing w:line="300" w:lineRule="atLeast"/>
              <w:textAlignment w:val="baseline"/>
              <w:rPr>
                <w:rFonts w:ascii="黑体" w:eastAsia="黑体" w:hAnsi="黑体" w:cs="黑体"/>
                <w:color w:val="000000"/>
                <w:sz w:val="23"/>
              </w:rPr>
            </w:pPr>
            <w:r>
              <w:rPr>
                <w:rFonts w:eastAsia="黑体" w:hint="eastAsia"/>
                <w:sz w:val="23"/>
              </w:rPr>
              <w:t>提供</w:t>
            </w:r>
            <w:r>
              <w:rPr>
                <w:rFonts w:eastAsia="黑体" w:hint="eastAsia"/>
                <w:sz w:val="23"/>
              </w:rPr>
              <w:t>2024</w:t>
            </w:r>
            <w:r>
              <w:rPr>
                <w:rFonts w:eastAsia="黑体" w:hint="eastAsia"/>
                <w:sz w:val="23"/>
              </w:rPr>
              <w:t>年</w:t>
            </w:r>
            <w:proofErr w:type="gramStart"/>
            <w:r>
              <w:rPr>
                <w:rFonts w:eastAsia="黑体" w:hint="eastAsia"/>
                <w:sz w:val="23"/>
              </w:rPr>
              <w:t>至今同</w:t>
            </w:r>
            <w:proofErr w:type="gramEnd"/>
            <w:r>
              <w:rPr>
                <w:rFonts w:eastAsia="黑体" w:hint="eastAsia"/>
                <w:sz w:val="23"/>
              </w:rPr>
              <w:t>类型服务项目的有效合同，每</w:t>
            </w:r>
            <w:r>
              <w:rPr>
                <w:rFonts w:eastAsia="黑体" w:hint="eastAsia"/>
                <w:sz w:val="23"/>
              </w:rPr>
              <w:t>1</w:t>
            </w:r>
            <w:r>
              <w:rPr>
                <w:rFonts w:eastAsia="黑体" w:hint="eastAsia"/>
                <w:sz w:val="23"/>
              </w:rPr>
              <w:t>份</w:t>
            </w:r>
            <w:r>
              <w:rPr>
                <w:rFonts w:eastAsia="黑体" w:hint="eastAsia"/>
                <w:sz w:val="23"/>
              </w:rPr>
              <w:t>2</w:t>
            </w:r>
            <w:r>
              <w:rPr>
                <w:rFonts w:eastAsia="黑体" w:hint="eastAsia"/>
                <w:sz w:val="23"/>
              </w:rPr>
              <w:t>分，满分</w:t>
            </w:r>
            <w:r>
              <w:rPr>
                <w:rFonts w:eastAsia="黑体" w:hint="eastAsia"/>
                <w:sz w:val="23"/>
              </w:rPr>
              <w:t>10</w:t>
            </w:r>
            <w:r>
              <w:rPr>
                <w:rFonts w:eastAsia="黑体" w:hint="eastAsia"/>
                <w:sz w:val="23"/>
              </w:rPr>
              <w:t>分</w:t>
            </w:r>
          </w:p>
        </w:tc>
      </w:tr>
      <w:tr w:rsidR="00693583" w14:paraId="544B803B" w14:textId="77777777">
        <w:trPr>
          <w:trHeight w:val="1540"/>
        </w:trPr>
        <w:tc>
          <w:tcPr>
            <w:tcW w:w="1972" w:type="dxa"/>
            <w:shd w:val="clear" w:color="auto" w:fill="auto"/>
            <w:vAlign w:val="center"/>
          </w:tcPr>
          <w:p w14:paraId="2FD2576B" w14:textId="77777777" w:rsidR="00693583" w:rsidRDefault="00F00069">
            <w:pPr>
              <w:wordWrap w:val="0"/>
              <w:spacing w:line="300" w:lineRule="atLeast"/>
              <w:jc w:val="center"/>
              <w:textAlignment w:val="baseline"/>
              <w:rPr>
                <w:rFonts w:eastAsia="宋体"/>
                <w:sz w:val="23"/>
              </w:rPr>
            </w:pPr>
            <w:r>
              <w:rPr>
                <w:rFonts w:ascii="黑体" w:eastAsia="黑体" w:hAnsi="黑体" w:cs="黑体" w:hint="eastAsia"/>
                <w:color w:val="000000"/>
                <w:sz w:val="23"/>
              </w:rPr>
              <w:t>服务交付与服务修正</w:t>
            </w:r>
          </w:p>
          <w:p w14:paraId="4E9CFD1D" w14:textId="77777777" w:rsidR="00693583" w:rsidRDefault="00F00069">
            <w:pPr>
              <w:wordWrap w:val="0"/>
              <w:spacing w:line="300" w:lineRule="atLeast"/>
              <w:jc w:val="center"/>
              <w:textAlignment w:val="baseline"/>
              <w:rPr>
                <w:sz w:val="23"/>
              </w:rPr>
            </w:pPr>
            <w:r>
              <w:rPr>
                <w:rFonts w:ascii="黑体" w:eastAsia="黑体" w:hAnsi="黑体" w:cs="黑体"/>
                <w:color w:val="000000"/>
                <w:sz w:val="23"/>
              </w:rPr>
              <w:t>(</w:t>
            </w:r>
            <w:r>
              <w:rPr>
                <w:rFonts w:ascii="黑体" w:eastAsia="黑体" w:hAnsi="黑体" w:cs="黑体" w:hint="eastAsia"/>
                <w:color w:val="000000"/>
                <w:sz w:val="23"/>
              </w:rPr>
              <w:t>20</w:t>
            </w:r>
            <w:r>
              <w:rPr>
                <w:rFonts w:ascii="黑体" w:eastAsia="黑体" w:hAnsi="黑体" w:cs="黑体"/>
                <w:color w:val="000000"/>
                <w:sz w:val="23"/>
              </w:rPr>
              <w:t>%)</w:t>
            </w:r>
          </w:p>
        </w:tc>
        <w:tc>
          <w:tcPr>
            <w:tcW w:w="1248" w:type="dxa"/>
            <w:shd w:val="clear" w:color="auto" w:fill="auto"/>
            <w:vAlign w:val="center"/>
          </w:tcPr>
          <w:p w14:paraId="758B8D5A" w14:textId="77777777" w:rsidR="00693583" w:rsidRDefault="00F00069">
            <w:pPr>
              <w:wordWrap w:val="0"/>
              <w:spacing w:line="300" w:lineRule="atLeast"/>
              <w:jc w:val="center"/>
              <w:textAlignment w:val="baseline"/>
              <w:rPr>
                <w:sz w:val="23"/>
              </w:rPr>
            </w:pPr>
            <w:r>
              <w:rPr>
                <w:rFonts w:ascii="黑体" w:eastAsia="黑体" w:hAnsi="黑体" w:cs="黑体" w:hint="eastAsia"/>
                <w:color w:val="000000"/>
                <w:sz w:val="23"/>
              </w:rPr>
              <w:t>20</w:t>
            </w:r>
            <w:r>
              <w:rPr>
                <w:rFonts w:ascii="黑体" w:eastAsia="黑体" w:hAnsi="黑体" w:cs="黑体"/>
                <w:color w:val="000000"/>
                <w:sz w:val="23"/>
              </w:rPr>
              <w:t>%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DC77200" w14:textId="77777777" w:rsidR="00693583" w:rsidRDefault="00F00069">
            <w:pPr>
              <w:wordWrap w:val="0"/>
              <w:spacing w:line="300" w:lineRule="atLeast"/>
              <w:jc w:val="center"/>
              <w:textAlignment w:val="baseline"/>
              <w:rPr>
                <w:sz w:val="23"/>
              </w:rPr>
            </w:pPr>
            <w:r>
              <w:rPr>
                <w:rFonts w:ascii="黑体" w:eastAsia="黑体" w:hAnsi="黑体" w:cs="黑体" w:hint="eastAsia"/>
                <w:color w:val="000000"/>
                <w:sz w:val="23"/>
              </w:rPr>
              <w:t>20</w:t>
            </w:r>
            <w:r>
              <w:rPr>
                <w:rFonts w:ascii="黑体" w:eastAsia="黑体" w:hAnsi="黑体" w:cs="黑体"/>
                <w:color w:val="000000"/>
                <w:sz w:val="23"/>
              </w:rPr>
              <w:t>分</w:t>
            </w:r>
          </w:p>
        </w:tc>
        <w:tc>
          <w:tcPr>
            <w:tcW w:w="5716" w:type="dxa"/>
            <w:shd w:val="clear" w:color="auto" w:fill="auto"/>
            <w:vAlign w:val="center"/>
          </w:tcPr>
          <w:p w14:paraId="68D2E7A1" w14:textId="77777777" w:rsidR="00693583" w:rsidRDefault="00F00069">
            <w:pPr>
              <w:wordWrap w:val="0"/>
              <w:spacing w:line="300" w:lineRule="atLeast"/>
              <w:textAlignment w:val="baseline"/>
              <w:rPr>
                <w:rFonts w:eastAsia="黑体"/>
                <w:sz w:val="23"/>
              </w:rPr>
            </w:pPr>
            <w:r>
              <w:rPr>
                <w:rFonts w:ascii="黑体" w:eastAsia="黑体" w:hAnsi="黑体" w:cs="黑体" w:hint="eastAsia"/>
                <w:color w:val="000000"/>
                <w:sz w:val="23"/>
              </w:rPr>
              <w:t>对商家提供的布展服务工作方案的响应</w:t>
            </w:r>
            <w:r>
              <w:rPr>
                <w:rFonts w:ascii="黑体" w:eastAsia="黑体" w:hAnsi="黑体" w:cs="黑体"/>
                <w:color w:val="000000"/>
                <w:sz w:val="23"/>
              </w:rPr>
              <w:t>时间</w:t>
            </w:r>
            <w:r>
              <w:rPr>
                <w:rFonts w:ascii="黑体" w:eastAsia="黑体" w:hAnsi="黑体" w:cs="黑体" w:hint="eastAsia"/>
                <w:color w:val="000000"/>
                <w:sz w:val="23"/>
              </w:rPr>
              <w:t>、</w:t>
            </w:r>
            <w:r>
              <w:rPr>
                <w:rFonts w:ascii="黑体" w:eastAsia="黑体" w:hAnsi="黑体" w:cs="黑体"/>
                <w:color w:val="000000"/>
                <w:sz w:val="23"/>
              </w:rPr>
              <w:t>服务</w:t>
            </w:r>
            <w:r>
              <w:rPr>
                <w:rFonts w:ascii="黑体" w:eastAsia="黑体" w:hAnsi="黑体" w:cs="黑体" w:hint="eastAsia"/>
                <w:color w:val="000000"/>
                <w:sz w:val="23"/>
              </w:rPr>
              <w:t>修正</w:t>
            </w:r>
            <w:r>
              <w:rPr>
                <w:rFonts w:ascii="黑体" w:eastAsia="黑体" w:hAnsi="黑体" w:cs="黑体"/>
                <w:color w:val="000000"/>
                <w:sz w:val="23"/>
              </w:rPr>
              <w:t>方案</w:t>
            </w:r>
            <w:r>
              <w:rPr>
                <w:rFonts w:ascii="黑体" w:eastAsia="黑体" w:hAnsi="黑体" w:cs="黑体" w:hint="eastAsia"/>
                <w:color w:val="000000"/>
                <w:sz w:val="23"/>
              </w:rPr>
              <w:t>、</w:t>
            </w:r>
            <w:r>
              <w:rPr>
                <w:rFonts w:ascii="黑体" w:eastAsia="黑体" w:hAnsi="黑体" w:cs="黑体" w:hint="eastAsia"/>
                <w:color w:val="000000"/>
                <w:sz w:val="23"/>
              </w:rPr>
              <w:t>调整优化能力由高到低排序，</w:t>
            </w:r>
            <w:r>
              <w:rPr>
                <w:rFonts w:ascii="黑体" w:eastAsia="黑体" w:hAnsi="黑体" w:cs="黑体"/>
                <w:color w:val="000000"/>
                <w:sz w:val="23"/>
              </w:rPr>
              <w:t>按比例</w:t>
            </w:r>
            <w:r>
              <w:rPr>
                <w:rFonts w:ascii="黑体" w:eastAsia="黑体" w:hAnsi="黑体" w:cs="黑体" w:hint="eastAsia"/>
                <w:color w:val="000000"/>
                <w:sz w:val="23"/>
              </w:rPr>
              <w:t>赋</w:t>
            </w:r>
            <w:r>
              <w:rPr>
                <w:rFonts w:ascii="黑体" w:eastAsia="黑体" w:hAnsi="黑体" w:cs="黑体"/>
                <w:color w:val="000000"/>
                <w:sz w:val="23"/>
              </w:rPr>
              <w:t>分；方案不完善或未提供的，不得分</w:t>
            </w:r>
            <w:r>
              <w:rPr>
                <w:rFonts w:ascii="黑体" w:eastAsia="黑体" w:hAnsi="黑体" w:cs="黑体" w:hint="eastAsia"/>
                <w:color w:val="000000"/>
                <w:sz w:val="23"/>
              </w:rPr>
              <w:t>。</w:t>
            </w:r>
          </w:p>
        </w:tc>
      </w:tr>
    </w:tbl>
    <w:p w14:paraId="6DAE6F26" w14:textId="77777777" w:rsidR="00693583" w:rsidRDefault="00693583">
      <w:pPr>
        <w:jc w:val="center"/>
        <w:rPr>
          <w:b/>
          <w:bCs/>
          <w:sz w:val="32"/>
          <w:szCs w:val="32"/>
        </w:rPr>
      </w:pPr>
    </w:p>
    <w:p w14:paraId="3278110A" w14:textId="77777777" w:rsidR="00693583" w:rsidRDefault="00693583">
      <w:pPr>
        <w:jc w:val="center"/>
        <w:rPr>
          <w:b/>
          <w:bCs/>
          <w:sz w:val="32"/>
          <w:szCs w:val="32"/>
        </w:rPr>
      </w:pPr>
    </w:p>
    <w:p w14:paraId="39A30324" w14:textId="77777777" w:rsidR="00693583" w:rsidRDefault="00F00069">
      <w:pPr>
        <w:jc w:val="center"/>
        <w:rPr>
          <w:rFonts w:eastAsia="宋体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遂宁校区</w:t>
      </w:r>
      <w:r>
        <w:rPr>
          <w:rFonts w:hint="eastAsia"/>
          <w:b/>
          <w:bCs/>
          <w:sz w:val="32"/>
          <w:szCs w:val="32"/>
        </w:rPr>
        <w:t>2025</w:t>
      </w:r>
      <w:r>
        <w:rPr>
          <w:rFonts w:hint="eastAsia"/>
          <w:b/>
          <w:bCs/>
          <w:sz w:val="32"/>
          <w:szCs w:val="32"/>
        </w:rPr>
        <w:t>年“秋季双选会”布展服务项目采购评审细则</w:t>
      </w:r>
    </w:p>
    <w:sectPr w:rsidR="00693583">
      <w:pgSz w:w="11900" w:h="16820"/>
      <w:pgMar w:top="700" w:right="700" w:bottom="700" w:left="7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59CBA05" w14:textId="77777777" w:rsidR="00F00069" w:rsidRDefault="00F00069">
      <w:r>
        <w:separator/>
      </w:r>
    </w:p>
  </w:endnote>
  <w:endnote w:type="continuationSeparator" w:id="0">
    <w:p w14:paraId="526414CC" w14:textId="77777777" w:rsidR="00F00069" w:rsidRDefault="00F000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D83815" w14:textId="77777777" w:rsidR="00F00069" w:rsidRDefault="00F00069">
      <w:r>
        <w:separator/>
      </w:r>
    </w:p>
  </w:footnote>
  <w:footnote w:type="continuationSeparator" w:id="0">
    <w:p w14:paraId="0E3724DD" w14:textId="77777777" w:rsidR="00F00069" w:rsidRDefault="00F000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</w:compat>
  <w:rsids>
    <w:rsidRoot w:val="00693583"/>
    <w:rsid w:val="002E61DF"/>
    <w:rsid w:val="00693583"/>
    <w:rsid w:val="00A80820"/>
    <w:rsid w:val="00F00069"/>
    <w:rsid w:val="01934780"/>
    <w:rsid w:val="053A7198"/>
    <w:rsid w:val="09306D58"/>
    <w:rsid w:val="0C0F70F9"/>
    <w:rsid w:val="0DC363ED"/>
    <w:rsid w:val="0EF34AB0"/>
    <w:rsid w:val="109959C2"/>
    <w:rsid w:val="112A0030"/>
    <w:rsid w:val="17CA65CA"/>
    <w:rsid w:val="1B6823F8"/>
    <w:rsid w:val="21396D7A"/>
    <w:rsid w:val="220B1BC2"/>
    <w:rsid w:val="24335B6F"/>
    <w:rsid w:val="250E2E19"/>
    <w:rsid w:val="262B2929"/>
    <w:rsid w:val="270D3939"/>
    <w:rsid w:val="2AE632C3"/>
    <w:rsid w:val="326571C3"/>
    <w:rsid w:val="3282646B"/>
    <w:rsid w:val="344B54FC"/>
    <w:rsid w:val="3BDA477E"/>
    <w:rsid w:val="3DB039E8"/>
    <w:rsid w:val="40086EB7"/>
    <w:rsid w:val="4D375A98"/>
    <w:rsid w:val="5257047F"/>
    <w:rsid w:val="54D44008"/>
    <w:rsid w:val="56424641"/>
    <w:rsid w:val="587A5CA0"/>
    <w:rsid w:val="58D97BE7"/>
    <w:rsid w:val="5AAB75B9"/>
    <w:rsid w:val="5CD32DF8"/>
    <w:rsid w:val="5EE62609"/>
    <w:rsid w:val="61D049AE"/>
    <w:rsid w:val="65735178"/>
    <w:rsid w:val="67A05FCC"/>
    <w:rsid w:val="6B3E7FD6"/>
    <w:rsid w:val="6B4D0219"/>
    <w:rsid w:val="6DCA3B5E"/>
    <w:rsid w:val="6F1F1ECC"/>
    <w:rsid w:val="711F4D80"/>
    <w:rsid w:val="7B191EC6"/>
    <w:rsid w:val="7D627B54"/>
    <w:rsid w:val="7E543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E61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E61DF"/>
    <w:rPr>
      <w:sz w:val="18"/>
      <w:szCs w:val="18"/>
    </w:rPr>
  </w:style>
  <w:style w:type="paragraph" w:styleId="a4">
    <w:name w:val="footer"/>
    <w:basedOn w:val="a"/>
    <w:link w:val="Char0"/>
    <w:rsid w:val="002E61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E61D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E61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E61DF"/>
    <w:rPr>
      <w:sz w:val="18"/>
      <w:szCs w:val="18"/>
    </w:rPr>
  </w:style>
  <w:style w:type="paragraph" w:styleId="a4">
    <w:name w:val="footer"/>
    <w:basedOn w:val="a"/>
    <w:link w:val="Char0"/>
    <w:rsid w:val="002E61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E61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ASUS</cp:lastModifiedBy>
  <cp:revision>2</cp:revision>
  <dcterms:created xsi:type="dcterms:W3CDTF">2025-10-23T06:39:00Z</dcterms:created>
  <dcterms:modified xsi:type="dcterms:W3CDTF">2025-10-23T06:39:00Z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eyJoZGlkIjoiNTNlYTY3OGMwOTYxM2IwN2I1NDRkOWI1OGMyYzdkY2EiLCJ1c2VySWQiOiIxMzgzMDIxOTcwIn0=</vt:lpwstr>
  </property>
  <property fmtid="{D5CDD505-2E9C-101B-9397-08002B2CF9AE}" pid="3" name="KSOProductBuildVer">
    <vt:lpwstr>2052-12.1.0.23125</vt:lpwstr>
  </property>
  <property fmtid="{D5CDD505-2E9C-101B-9397-08002B2CF9AE}" pid="4" name="ICV">
    <vt:lpwstr>931EC1D54A9443DA96A8B09D12EA71AD_13</vt:lpwstr>
  </property>
</Properties>
</file>