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867" w:tblpY="3966"/>
        <w:tblOverlap w:val="never"/>
        <w:tblW w:w="0" w:type="auto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2"/>
        <w:gridCol w:w="1248"/>
        <w:gridCol w:w="1080"/>
        <w:gridCol w:w="5716"/>
      </w:tblGrid>
      <w:tr w14:paraId="5815331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972" w:type="dxa"/>
            <w:vAlign w:val="center"/>
          </w:tcPr>
          <w:p w14:paraId="1F8B20D0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评分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项目</w:t>
            </w:r>
          </w:p>
        </w:tc>
        <w:tc>
          <w:tcPr>
            <w:tcW w:w="1248" w:type="dxa"/>
            <w:vAlign w:val="center"/>
          </w:tcPr>
          <w:p w14:paraId="4C8D0793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ascii="黑体" w:hAnsi="黑体" w:eastAsia="黑体" w:cs="黑体"/>
                <w:color w:val="000000"/>
                <w:sz w:val="23"/>
              </w:rPr>
              <w:t>权重</w:t>
            </w:r>
          </w:p>
        </w:tc>
        <w:tc>
          <w:tcPr>
            <w:tcW w:w="1080" w:type="dxa"/>
            <w:vAlign w:val="center"/>
          </w:tcPr>
          <w:p w14:paraId="5C41CDE3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ascii="黑体" w:hAnsi="黑体" w:eastAsia="黑体" w:cs="黑体"/>
                <w:color w:val="000000"/>
                <w:sz w:val="23"/>
              </w:rPr>
              <w:t>分值</w:t>
            </w:r>
          </w:p>
        </w:tc>
        <w:tc>
          <w:tcPr>
            <w:tcW w:w="5716" w:type="dxa"/>
            <w:vAlign w:val="center"/>
          </w:tcPr>
          <w:p w14:paraId="75E9C249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评分标准</w:t>
            </w:r>
          </w:p>
        </w:tc>
      </w:tr>
      <w:tr w14:paraId="1642E78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</w:trPr>
        <w:tc>
          <w:tcPr>
            <w:tcW w:w="1972" w:type="dxa"/>
            <w:vAlign w:val="center"/>
          </w:tcPr>
          <w:p w14:paraId="0A9B133F">
            <w:pPr>
              <w:wordWrap w:val="0"/>
              <w:spacing w:line="320" w:lineRule="atLeast"/>
              <w:ind w:left="380"/>
              <w:jc w:val="center"/>
              <w:textAlignment w:val="baseline"/>
              <w:rPr>
                <w:rFonts w:ascii="黑体" w:hAnsi="黑体" w:eastAsia="黑体" w:cs="黑体"/>
                <w:color w:val="000000"/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服务报价</w:t>
            </w:r>
          </w:p>
          <w:p w14:paraId="6A103524">
            <w:pPr>
              <w:wordWrap w:val="0"/>
              <w:spacing w:line="320" w:lineRule="atLeast"/>
              <w:ind w:left="380"/>
              <w:jc w:val="center"/>
              <w:textAlignment w:val="baseline"/>
              <w:rPr>
                <w:rFonts w:ascii="黑体" w:hAnsi="黑体" w:eastAsia="黑体" w:cs="黑体"/>
                <w:color w:val="000000"/>
                <w:sz w:val="23"/>
              </w:rPr>
            </w:pPr>
            <w:r>
              <w:rPr>
                <w:rFonts w:ascii="黑体" w:hAnsi="黑体" w:eastAsia="黑体" w:cs="黑体"/>
                <w:color w:val="000000"/>
                <w:sz w:val="23"/>
              </w:rPr>
              <w:t>(</w:t>
            </w:r>
            <w:r>
              <w:rPr>
                <w:rFonts w:hint="eastAsia" w:ascii="黑体" w:hAnsi="黑体" w:eastAsia="黑体" w:cs="黑体"/>
                <w:color w:val="000000"/>
                <w:sz w:val="23"/>
              </w:rPr>
              <w:t>3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0%)</w:t>
            </w:r>
          </w:p>
        </w:tc>
        <w:tc>
          <w:tcPr>
            <w:tcW w:w="1248" w:type="dxa"/>
            <w:vAlign w:val="center"/>
          </w:tcPr>
          <w:p w14:paraId="701F23B0">
            <w:pPr>
              <w:wordWrap w:val="0"/>
              <w:spacing w:line="300" w:lineRule="atLeast"/>
              <w:jc w:val="center"/>
              <w:textAlignment w:val="baseline"/>
              <w:rPr>
                <w:rFonts w:ascii="黑体" w:hAnsi="黑体" w:eastAsia="黑体" w:cs="黑体"/>
                <w:color w:val="000000"/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30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%</w:t>
            </w:r>
          </w:p>
        </w:tc>
        <w:tc>
          <w:tcPr>
            <w:tcW w:w="1080" w:type="dxa"/>
            <w:vAlign w:val="center"/>
          </w:tcPr>
          <w:p w14:paraId="73FD1860">
            <w:pPr>
              <w:wordWrap w:val="0"/>
              <w:spacing w:line="320" w:lineRule="atLeast"/>
              <w:ind w:left="280"/>
              <w:textAlignment w:val="baseline"/>
              <w:rPr>
                <w:rFonts w:ascii="黑体" w:hAnsi="黑体" w:eastAsia="黑体" w:cs="黑体"/>
                <w:color w:val="000000"/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30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分</w:t>
            </w:r>
          </w:p>
        </w:tc>
        <w:tc>
          <w:tcPr>
            <w:tcW w:w="5716" w:type="dxa"/>
            <w:vAlign w:val="center"/>
          </w:tcPr>
          <w:p w14:paraId="5F2F8D64">
            <w:pPr>
              <w:wordWrap w:val="0"/>
              <w:spacing w:line="300" w:lineRule="atLeast"/>
              <w:textAlignment w:val="baseline"/>
              <w:rPr>
                <w:rFonts w:eastAsia="黑体"/>
                <w:sz w:val="23"/>
              </w:rPr>
            </w:pPr>
            <w:r>
              <w:rPr>
                <w:rFonts w:ascii="黑体" w:hAnsi="黑体" w:eastAsia="黑体" w:cs="黑体"/>
                <w:color w:val="000000"/>
                <w:sz w:val="23"/>
              </w:rPr>
              <w:t>以所有有效报价的</w:t>
            </w:r>
            <w:r>
              <w:rPr>
                <w:rFonts w:hint="eastAsia" w:ascii="黑体" w:hAnsi="黑体" w:eastAsia="黑体" w:cs="黑体"/>
                <w:color w:val="000000"/>
                <w:sz w:val="23"/>
              </w:rPr>
              <w:t>算术平均价作为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基准价，供应商的价格分按照 (基准价/报价)×</w:t>
            </w:r>
            <w:r>
              <w:rPr>
                <w:rFonts w:hint="eastAsia" w:ascii="黑体" w:hAnsi="黑体" w:eastAsia="黑体" w:cs="黑体"/>
                <w:color w:val="000000"/>
                <w:sz w:val="23"/>
              </w:rPr>
              <w:t>30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分公式计算</w:t>
            </w:r>
            <w:r>
              <w:rPr>
                <w:rFonts w:hint="eastAsia" w:ascii="黑体" w:hAnsi="黑体" w:eastAsia="黑体" w:cs="黑体"/>
                <w:color w:val="000000"/>
                <w:sz w:val="23"/>
              </w:rPr>
              <w:t>，最高得30分</w:t>
            </w:r>
          </w:p>
        </w:tc>
      </w:tr>
      <w:tr w14:paraId="0AA60A4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972" w:type="dxa"/>
            <w:vAlign w:val="center"/>
          </w:tcPr>
          <w:p w14:paraId="0E17DC9B">
            <w:pPr>
              <w:wordWrap w:val="0"/>
              <w:spacing w:line="320" w:lineRule="atLeast"/>
              <w:ind w:left="280"/>
              <w:jc w:val="center"/>
              <w:textAlignment w:val="baseline"/>
              <w:rPr>
                <w:rFonts w:ascii="黑体" w:hAnsi="黑体" w:eastAsia="黑体" w:cs="黑体"/>
                <w:color w:val="000000"/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氛围营造与文化创意</w:t>
            </w:r>
          </w:p>
          <w:p w14:paraId="44990EB4">
            <w:pPr>
              <w:wordWrap w:val="0"/>
              <w:spacing w:line="320" w:lineRule="atLeast"/>
              <w:ind w:left="280"/>
              <w:jc w:val="center"/>
              <w:textAlignment w:val="baseline"/>
              <w:rPr>
                <w:sz w:val="23"/>
              </w:rPr>
            </w:pPr>
            <w:r>
              <w:rPr>
                <w:rFonts w:ascii="黑体" w:hAnsi="黑体" w:eastAsia="黑体" w:cs="黑体"/>
                <w:color w:val="000000"/>
                <w:sz w:val="23"/>
              </w:rPr>
              <w:t>(</w:t>
            </w:r>
            <w:r>
              <w:rPr>
                <w:rFonts w:hint="eastAsia" w:ascii="黑体" w:hAnsi="黑体" w:eastAsia="黑体" w:cs="黑体"/>
                <w:color w:val="000000"/>
                <w:sz w:val="23"/>
              </w:rPr>
              <w:t>4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0%)</w:t>
            </w:r>
          </w:p>
        </w:tc>
        <w:tc>
          <w:tcPr>
            <w:tcW w:w="1248" w:type="dxa"/>
            <w:vAlign w:val="center"/>
          </w:tcPr>
          <w:p w14:paraId="161B74A4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40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%</w:t>
            </w:r>
          </w:p>
        </w:tc>
        <w:tc>
          <w:tcPr>
            <w:tcW w:w="1080" w:type="dxa"/>
            <w:vAlign w:val="center"/>
          </w:tcPr>
          <w:p w14:paraId="19691114">
            <w:pPr>
              <w:wordWrap w:val="0"/>
              <w:spacing w:line="320" w:lineRule="atLeast"/>
              <w:ind w:left="280"/>
              <w:textAlignment w:val="baseline"/>
              <w:rPr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40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分</w:t>
            </w:r>
          </w:p>
        </w:tc>
        <w:tc>
          <w:tcPr>
            <w:tcW w:w="5716" w:type="dxa"/>
            <w:vAlign w:val="center"/>
          </w:tcPr>
          <w:p w14:paraId="789B0000">
            <w:pPr>
              <w:wordWrap w:val="0"/>
              <w:spacing w:line="300" w:lineRule="atLeast"/>
              <w:textAlignment w:val="baseline"/>
              <w:rPr>
                <w:rFonts w:eastAsia="宋体"/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对商家提供的布展服务设计方案的氛围营造、文化创意，活动契合度及遂宁校区校园文化的融合程度由高到低排序，第一名满分，第二名得35分，第三名得30分，依此类推。</w:t>
            </w:r>
          </w:p>
        </w:tc>
      </w:tr>
      <w:tr w14:paraId="6302B59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</w:trPr>
        <w:tc>
          <w:tcPr>
            <w:tcW w:w="1972" w:type="dxa"/>
            <w:vAlign w:val="center"/>
          </w:tcPr>
          <w:p w14:paraId="1067E1FC">
            <w:pPr>
              <w:wordWrap w:val="0"/>
              <w:spacing w:line="320" w:lineRule="atLeast"/>
              <w:ind w:left="380"/>
              <w:jc w:val="center"/>
              <w:textAlignment w:val="baseline"/>
              <w:rPr>
                <w:rFonts w:ascii="黑体" w:hAnsi="黑体" w:eastAsia="黑体" w:cs="黑体"/>
                <w:color w:val="000000"/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履约能力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(</w:t>
            </w:r>
            <w:r>
              <w:rPr>
                <w:rFonts w:hint="eastAsia" w:ascii="黑体" w:hAnsi="黑体" w:eastAsia="黑体" w:cs="黑体"/>
                <w:color w:val="000000"/>
                <w:sz w:val="23"/>
              </w:rPr>
              <w:t>10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%)</w:t>
            </w:r>
          </w:p>
        </w:tc>
        <w:tc>
          <w:tcPr>
            <w:tcW w:w="1248" w:type="dxa"/>
            <w:vAlign w:val="center"/>
          </w:tcPr>
          <w:p w14:paraId="092093F9">
            <w:pPr>
              <w:wordWrap w:val="0"/>
              <w:spacing w:line="300" w:lineRule="atLeast"/>
              <w:jc w:val="center"/>
              <w:textAlignment w:val="baseline"/>
              <w:rPr>
                <w:rFonts w:ascii="黑体" w:hAnsi="黑体" w:eastAsia="黑体" w:cs="黑体"/>
                <w:color w:val="000000"/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10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%</w:t>
            </w:r>
          </w:p>
        </w:tc>
        <w:tc>
          <w:tcPr>
            <w:tcW w:w="1080" w:type="dxa"/>
            <w:vAlign w:val="center"/>
          </w:tcPr>
          <w:p w14:paraId="42889946">
            <w:pPr>
              <w:wordWrap w:val="0"/>
              <w:spacing w:line="320" w:lineRule="atLeast"/>
              <w:ind w:left="280"/>
              <w:textAlignment w:val="baseline"/>
              <w:rPr>
                <w:rFonts w:ascii="黑体" w:hAnsi="黑体" w:eastAsia="黑体" w:cs="黑体"/>
                <w:color w:val="000000"/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10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分</w:t>
            </w:r>
          </w:p>
        </w:tc>
        <w:tc>
          <w:tcPr>
            <w:tcW w:w="5716" w:type="dxa"/>
            <w:vAlign w:val="center"/>
          </w:tcPr>
          <w:p w14:paraId="34B140B1">
            <w:pPr>
              <w:wordWrap w:val="0"/>
              <w:spacing w:line="300" w:lineRule="atLeast"/>
              <w:textAlignment w:val="baseline"/>
              <w:rPr>
                <w:rFonts w:ascii="黑体" w:hAnsi="黑体" w:eastAsia="黑体" w:cs="黑体"/>
                <w:color w:val="000000"/>
                <w:sz w:val="23"/>
              </w:rPr>
            </w:pPr>
            <w:r>
              <w:rPr>
                <w:rFonts w:hint="eastAsia" w:eastAsia="黑体"/>
                <w:sz w:val="23"/>
              </w:rPr>
              <w:t>提供</w:t>
            </w:r>
            <w:r>
              <w:rPr>
                <w:rFonts w:hint="eastAsia" w:eastAsia="黑体"/>
                <w:sz w:val="23"/>
                <w:lang w:val="en-US" w:eastAsia="zh-CN"/>
              </w:rPr>
              <w:t>2024</w:t>
            </w:r>
            <w:bookmarkStart w:id="0" w:name="_GoBack"/>
            <w:bookmarkEnd w:id="0"/>
            <w:r>
              <w:rPr>
                <w:rFonts w:hint="eastAsia" w:eastAsia="黑体"/>
                <w:sz w:val="23"/>
              </w:rPr>
              <w:t>年至今同类型服务项目的有效合同，每1份2分，满分10分</w:t>
            </w:r>
          </w:p>
        </w:tc>
      </w:tr>
      <w:tr w14:paraId="544B803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</w:trPr>
        <w:tc>
          <w:tcPr>
            <w:tcW w:w="1972" w:type="dxa"/>
            <w:shd w:val="clear" w:color="auto" w:fill="auto"/>
            <w:vAlign w:val="center"/>
          </w:tcPr>
          <w:p w14:paraId="2FD2576B">
            <w:pPr>
              <w:wordWrap w:val="0"/>
              <w:spacing w:line="300" w:lineRule="atLeast"/>
              <w:jc w:val="center"/>
              <w:textAlignment w:val="baseline"/>
              <w:rPr>
                <w:rFonts w:eastAsia="宋体"/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服务交付与服务修正</w:t>
            </w:r>
          </w:p>
          <w:p w14:paraId="4E9CFD1D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ascii="黑体" w:hAnsi="黑体" w:eastAsia="黑体" w:cs="黑体"/>
                <w:color w:val="000000"/>
                <w:sz w:val="23"/>
              </w:rPr>
              <w:t>(</w:t>
            </w:r>
            <w:r>
              <w:rPr>
                <w:rFonts w:hint="eastAsia" w:ascii="黑体" w:hAnsi="黑体" w:eastAsia="黑体" w:cs="黑体"/>
                <w:color w:val="000000"/>
                <w:sz w:val="23"/>
              </w:rPr>
              <w:t>20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%)</w:t>
            </w:r>
          </w:p>
        </w:tc>
        <w:tc>
          <w:tcPr>
            <w:tcW w:w="1248" w:type="dxa"/>
            <w:shd w:val="clear" w:color="auto" w:fill="auto"/>
            <w:vAlign w:val="center"/>
          </w:tcPr>
          <w:p w14:paraId="758B8D5A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20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%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DC77200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20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分</w:t>
            </w:r>
          </w:p>
        </w:tc>
        <w:tc>
          <w:tcPr>
            <w:tcW w:w="5716" w:type="dxa"/>
            <w:shd w:val="clear" w:color="auto" w:fill="auto"/>
            <w:vAlign w:val="center"/>
          </w:tcPr>
          <w:p w14:paraId="68D2E7A1">
            <w:pPr>
              <w:wordWrap w:val="0"/>
              <w:spacing w:line="300" w:lineRule="atLeast"/>
              <w:textAlignment w:val="baseline"/>
              <w:rPr>
                <w:rFonts w:eastAsia="黑体"/>
                <w:sz w:val="23"/>
              </w:rPr>
            </w:pPr>
            <w:r>
              <w:rPr>
                <w:rFonts w:hint="eastAsia" w:ascii="黑体" w:hAnsi="黑体" w:eastAsia="黑体" w:cs="黑体"/>
                <w:color w:val="000000"/>
                <w:sz w:val="23"/>
              </w:rPr>
              <w:t>对商家提供的布展服务工作方案的响应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时间</w:t>
            </w:r>
            <w:r>
              <w:rPr>
                <w:rFonts w:hint="eastAsia" w:ascii="黑体" w:hAnsi="黑体" w:eastAsia="黑体" w:cs="黑体"/>
                <w:color w:val="000000"/>
                <w:sz w:val="23"/>
              </w:rPr>
              <w:t>、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服务</w:t>
            </w:r>
            <w:r>
              <w:rPr>
                <w:rFonts w:hint="eastAsia" w:ascii="黑体" w:hAnsi="黑体" w:eastAsia="黑体" w:cs="黑体"/>
                <w:color w:val="000000"/>
                <w:sz w:val="23"/>
              </w:rPr>
              <w:t>修正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方案</w:t>
            </w:r>
            <w:r>
              <w:rPr>
                <w:rFonts w:hint="eastAsia" w:ascii="黑体" w:hAnsi="黑体" w:eastAsia="黑体" w:cs="黑体"/>
                <w:color w:val="000000"/>
                <w:sz w:val="23"/>
              </w:rPr>
              <w:t>、调整优化能力由高到低排序，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按比例</w:t>
            </w:r>
            <w:r>
              <w:rPr>
                <w:rFonts w:hint="eastAsia" w:ascii="黑体" w:hAnsi="黑体" w:eastAsia="黑体" w:cs="黑体"/>
                <w:color w:val="000000"/>
                <w:sz w:val="23"/>
              </w:rPr>
              <w:t>赋</w:t>
            </w:r>
            <w:r>
              <w:rPr>
                <w:rFonts w:ascii="黑体" w:hAnsi="黑体" w:eastAsia="黑体" w:cs="黑体"/>
                <w:color w:val="000000"/>
                <w:sz w:val="23"/>
              </w:rPr>
              <w:t>分；方案不完善或未提供的，不得分</w:t>
            </w:r>
            <w:r>
              <w:rPr>
                <w:rFonts w:hint="eastAsia" w:ascii="黑体" w:hAnsi="黑体" w:eastAsia="黑体" w:cs="黑体"/>
                <w:color w:val="000000"/>
                <w:sz w:val="23"/>
              </w:rPr>
              <w:t>。</w:t>
            </w:r>
          </w:p>
        </w:tc>
      </w:tr>
    </w:tbl>
    <w:p w14:paraId="6DAE6F26">
      <w:pPr>
        <w:jc w:val="center"/>
        <w:rPr>
          <w:b/>
          <w:bCs/>
          <w:sz w:val="32"/>
          <w:szCs w:val="32"/>
        </w:rPr>
      </w:pPr>
    </w:p>
    <w:p w14:paraId="3278110A">
      <w:pPr>
        <w:jc w:val="center"/>
        <w:rPr>
          <w:b/>
          <w:bCs/>
          <w:sz w:val="32"/>
          <w:szCs w:val="32"/>
        </w:rPr>
      </w:pPr>
    </w:p>
    <w:p w14:paraId="39A30324">
      <w:pPr>
        <w:jc w:val="center"/>
        <w:rPr>
          <w:rFonts w:eastAsia="宋体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遂宁校区202</w:t>
      </w:r>
      <w:r>
        <w:rPr>
          <w:rFonts w:hint="eastAsia"/>
          <w:b/>
          <w:bCs/>
          <w:sz w:val="32"/>
          <w:szCs w:val="32"/>
          <w:lang w:val="en-US" w:eastAsia="zh-CN"/>
        </w:rPr>
        <w:t>6</w:t>
      </w:r>
      <w:r>
        <w:rPr>
          <w:rFonts w:hint="eastAsia"/>
          <w:b/>
          <w:bCs/>
          <w:sz w:val="32"/>
          <w:szCs w:val="32"/>
        </w:rPr>
        <w:t>年“</w:t>
      </w:r>
      <w:r>
        <w:rPr>
          <w:rFonts w:hint="eastAsia"/>
          <w:b/>
          <w:bCs/>
          <w:sz w:val="32"/>
          <w:szCs w:val="32"/>
          <w:lang w:val="en-US" w:eastAsia="zh-CN"/>
        </w:rPr>
        <w:t>春</w:t>
      </w:r>
      <w:r>
        <w:rPr>
          <w:rFonts w:hint="eastAsia"/>
          <w:b/>
          <w:bCs/>
          <w:sz w:val="32"/>
          <w:szCs w:val="32"/>
        </w:rPr>
        <w:t>季双选会”布展服务项目采购评</w:t>
      </w:r>
      <w:r>
        <w:rPr>
          <w:rFonts w:hint="eastAsia"/>
          <w:b/>
          <w:bCs/>
          <w:sz w:val="32"/>
          <w:szCs w:val="32"/>
          <w:lang w:val="en-US" w:eastAsia="zh-CN"/>
        </w:rPr>
        <w:t>分</w:t>
      </w:r>
      <w:r>
        <w:rPr>
          <w:rFonts w:hint="eastAsia"/>
          <w:b/>
          <w:bCs/>
          <w:sz w:val="32"/>
          <w:szCs w:val="32"/>
        </w:rPr>
        <w:t>细则</w:t>
      </w:r>
    </w:p>
    <w:sectPr>
      <w:pgSz w:w="11900" w:h="16820"/>
      <w:pgMar w:top="700" w:right="700" w:bottom="700" w:left="7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characterSpacingControl w:val="doNotCompress"/>
  <w:compat>
    <w:ulTrailSpace/>
    <w:useFELayout/>
    <w:compatSetting w:name="compatibilityMode" w:uri="http://schemas.microsoft.com/office/word" w:val="14"/>
  </w:compat>
  <w:rsids>
    <w:rsidRoot w:val="00693583"/>
    <w:rsid w:val="002E61DF"/>
    <w:rsid w:val="00693583"/>
    <w:rsid w:val="00A80820"/>
    <w:rsid w:val="00F00069"/>
    <w:rsid w:val="01934780"/>
    <w:rsid w:val="053A7198"/>
    <w:rsid w:val="083B5122"/>
    <w:rsid w:val="09306D58"/>
    <w:rsid w:val="0C0F70F9"/>
    <w:rsid w:val="0DC363ED"/>
    <w:rsid w:val="0EF34AB0"/>
    <w:rsid w:val="109959C2"/>
    <w:rsid w:val="112A0030"/>
    <w:rsid w:val="17CA65CA"/>
    <w:rsid w:val="1B6823F8"/>
    <w:rsid w:val="21396D7A"/>
    <w:rsid w:val="220B1BC2"/>
    <w:rsid w:val="24335B6F"/>
    <w:rsid w:val="250E2E19"/>
    <w:rsid w:val="262B2929"/>
    <w:rsid w:val="270D3939"/>
    <w:rsid w:val="2AE632C3"/>
    <w:rsid w:val="326571C3"/>
    <w:rsid w:val="3282646B"/>
    <w:rsid w:val="344B54FC"/>
    <w:rsid w:val="3BDA477E"/>
    <w:rsid w:val="3DB039E8"/>
    <w:rsid w:val="40086EB7"/>
    <w:rsid w:val="4D375A98"/>
    <w:rsid w:val="5257047F"/>
    <w:rsid w:val="52AD7091"/>
    <w:rsid w:val="54D44008"/>
    <w:rsid w:val="56424641"/>
    <w:rsid w:val="587A5CA0"/>
    <w:rsid w:val="58D97BE7"/>
    <w:rsid w:val="5AAB75B9"/>
    <w:rsid w:val="5CD32DF8"/>
    <w:rsid w:val="5EE62609"/>
    <w:rsid w:val="61D049AE"/>
    <w:rsid w:val="65735178"/>
    <w:rsid w:val="67A05FCC"/>
    <w:rsid w:val="6B3E7FD6"/>
    <w:rsid w:val="6B4D0219"/>
    <w:rsid w:val="6DCA3B5E"/>
    <w:rsid w:val="6F1F1ECC"/>
    <w:rsid w:val="711F4D80"/>
    <w:rsid w:val="7B191EC6"/>
    <w:rsid w:val="7D627B54"/>
    <w:rsid w:val="7E54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333</Characters>
  <Lines>2</Lines>
  <Paragraphs>1</Paragraphs>
  <TotalTime>0</TotalTime>
  <ScaleCrop>false</ScaleCrop>
  <LinksUpToDate>false</LinksUpToDate>
  <CharactersWithSpaces>334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2025-10-23T06:39:00Z</dcterms:created>
  <dc:creator>Apache POI</dc:creator>
  <cp:lastModifiedBy>Cactus Helen</cp:lastModifiedBy>
  <dcterms:modified xsi:type="dcterms:W3CDTF">2026-03-26T09:51:29Z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eyJoZGlkIjoiNzQ4N2IxZGJiMmNjZjJjY2FhMWNhNjUxNzk3ODMzNzciLCJ1c2VySWQiOiIyNzE2MDI4NDUifQ==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6C79C0DBC5E54E3F939481D039A010E7_13</vt:lpwstr>
  </property>
</Properties>
</file>