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E6F26"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4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B760D19">
      <w:pPr>
        <w:spacing w:line="360" w:lineRule="auto"/>
        <w:ind w:left="0" w:leftChars="0" w:firstLine="849" w:firstLineChars="235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遂宁校区2026年迎新氛围营造与环境创设服务项目采购评分细则</w:t>
      </w:r>
    </w:p>
    <w:tbl>
      <w:tblPr>
        <w:tblStyle w:val="2"/>
        <w:tblpPr w:leftFromText="180" w:rightFromText="180" w:vertAnchor="text" w:horzAnchor="page" w:tblpX="953" w:tblpY="311"/>
        <w:tblOverlap w:val="never"/>
        <w:tblW w:w="1017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1226"/>
        <w:gridCol w:w="451"/>
        <w:gridCol w:w="707"/>
        <w:gridCol w:w="6425"/>
        <w:gridCol w:w="929"/>
      </w:tblGrid>
      <w:tr w14:paraId="4D99A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32" w:type="dxa"/>
            <w:vAlign w:val="center"/>
          </w:tcPr>
          <w:p w14:paraId="270F053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26" w:type="dxa"/>
            <w:vAlign w:val="center"/>
          </w:tcPr>
          <w:p w14:paraId="2378A55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评分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pacing w:val="0"/>
                <w:sz w:val="24"/>
                <w:szCs w:val="24"/>
              </w:rPr>
              <w:t>项目</w:t>
            </w:r>
          </w:p>
        </w:tc>
        <w:tc>
          <w:tcPr>
            <w:tcW w:w="451" w:type="dxa"/>
            <w:vAlign w:val="center"/>
          </w:tcPr>
          <w:p w14:paraId="366EDF2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</w:rPr>
              <w:t>权重</w:t>
            </w:r>
          </w:p>
        </w:tc>
        <w:tc>
          <w:tcPr>
            <w:tcW w:w="707" w:type="dxa"/>
            <w:vAlign w:val="center"/>
          </w:tcPr>
          <w:p w14:paraId="054175A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</w:rPr>
              <w:t>分值</w:t>
            </w:r>
          </w:p>
        </w:tc>
        <w:tc>
          <w:tcPr>
            <w:tcW w:w="6425" w:type="dxa"/>
            <w:tcBorders>
              <w:right w:val="single" w:color="auto" w:sz="4" w:space="0"/>
            </w:tcBorders>
            <w:vAlign w:val="center"/>
          </w:tcPr>
          <w:p w14:paraId="3D1539A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评分标准</w:t>
            </w:r>
          </w:p>
        </w:tc>
        <w:tc>
          <w:tcPr>
            <w:tcW w:w="929" w:type="dxa"/>
            <w:tcBorders>
              <w:left w:val="single" w:color="auto" w:sz="4" w:space="0"/>
            </w:tcBorders>
            <w:vAlign w:val="center"/>
          </w:tcPr>
          <w:p w14:paraId="0391ECB0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5D6B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32" w:type="dxa"/>
            <w:vAlign w:val="center"/>
          </w:tcPr>
          <w:p w14:paraId="6EF5E4B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 w14:paraId="226F4FE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服务报价</w:t>
            </w:r>
          </w:p>
        </w:tc>
        <w:tc>
          <w:tcPr>
            <w:tcW w:w="451" w:type="dxa"/>
            <w:vAlign w:val="center"/>
          </w:tcPr>
          <w:p w14:paraId="7F8DAB0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14:paraId="65BA13F1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分</w:t>
            </w:r>
          </w:p>
        </w:tc>
        <w:tc>
          <w:tcPr>
            <w:tcW w:w="6425" w:type="dxa"/>
            <w:tcBorders>
              <w:right w:val="single" w:color="auto" w:sz="4" w:space="0"/>
            </w:tcBorders>
            <w:vAlign w:val="center"/>
          </w:tcPr>
          <w:p w14:paraId="11B1DC60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40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基准价定义：通过资格性、符合性审查的最低有效响应报价为磋商基准价；</w:t>
            </w:r>
          </w:p>
          <w:p w14:paraId="22DA8990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40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计算公式：价格分＝（基准价÷响应报价）×30；</w:t>
            </w:r>
          </w:p>
          <w:p w14:paraId="3322E24B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40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计算规则：四舍五入保留2位小数，最低0分；</w:t>
            </w:r>
          </w:p>
          <w:p w14:paraId="4697EF0E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40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无效情形：响应报价超过本项目最高限价90000元的，本项直接得0分，按无效响应处理。</w:t>
            </w:r>
          </w:p>
        </w:tc>
        <w:tc>
          <w:tcPr>
            <w:tcW w:w="929" w:type="dxa"/>
            <w:tcBorders>
              <w:left w:val="single" w:color="auto" w:sz="4" w:space="0"/>
            </w:tcBorders>
            <w:vAlign w:val="center"/>
          </w:tcPr>
          <w:p w14:paraId="05BD0BB1">
            <w:pPr>
              <w:pageBreakBefore w:val="0"/>
              <w:numPr>
                <w:ilvl w:val="0"/>
                <w:numId w:val="0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参照报价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打分</w:t>
            </w:r>
          </w:p>
        </w:tc>
      </w:tr>
      <w:tr w14:paraId="3E6A75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32" w:type="dxa"/>
            <w:vAlign w:val="center"/>
          </w:tcPr>
          <w:p w14:paraId="619EE41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6" w:type="dxa"/>
            <w:vAlign w:val="center"/>
          </w:tcPr>
          <w:p w14:paraId="45D5966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项目设计方案</w:t>
            </w:r>
          </w:p>
        </w:tc>
        <w:tc>
          <w:tcPr>
            <w:tcW w:w="451" w:type="dxa"/>
            <w:vAlign w:val="center"/>
          </w:tcPr>
          <w:p w14:paraId="2D36F1C1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14:paraId="156EE8E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分</w:t>
            </w:r>
          </w:p>
        </w:tc>
        <w:tc>
          <w:tcPr>
            <w:tcW w:w="6425" w:type="dxa"/>
            <w:tcBorders>
              <w:right w:val="single" w:color="auto" w:sz="4" w:space="0"/>
            </w:tcBorders>
            <w:vAlign w:val="center"/>
          </w:tcPr>
          <w:p w14:paraId="00B6BF00">
            <w:pPr>
              <w:pageBreakBefore w:val="0"/>
              <w:numPr>
                <w:ilvl w:val="0"/>
                <w:numId w:val="0"/>
              </w:numPr>
              <w:wordWrap w:val="0"/>
              <w:snapToGrid w:val="0"/>
              <w:spacing w:before="0" w:after="0" w:line="240" w:lineRule="auto"/>
              <w:ind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提供项目设计方案。方案需包含4个关键点位设计：北辰门美陈、北辰门拱门、东晖门美陈、体育馆报道处美陈。从校园文化理解契合度、文化创意设计水平、‌迎新活动文化契合度角度评分。</w:t>
            </w:r>
          </w:p>
          <w:p w14:paraId="50C2B2E0">
            <w:pPr>
              <w:pageBreakBefore w:val="0"/>
              <w:numPr>
                <w:ilvl w:val="0"/>
                <w:numId w:val="2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40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北辰门美陈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（10分）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，第一名满分，第二名扣3分，第三名扣5分。未提供点位设计，此项不得分；</w:t>
            </w:r>
          </w:p>
          <w:p w14:paraId="3F761B27">
            <w:pPr>
              <w:pageBreakBefore w:val="0"/>
              <w:numPr>
                <w:ilvl w:val="0"/>
                <w:numId w:val="2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40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北辰门拱门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（10分）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，第一名满分，第二名扣3分，第三名扣5分，以此类推。未提供点位设计，此项不得分；</w:t>
            </w:r>
          </w:p>
          <w:p w14:paraId="507D16B3">
            <w:pPr>
              <w:pageBreakBefore w:val="0"/>
              <w:numPr>
                <w:ilvl w:val="0"/>
                <w:numId w:val="2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40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东晖门美陈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（10分）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，第一名满分，第二名扣3分，第三名扣5分。未提供点位设计，此项不得分；</w:t>
            </w:r>
          </w:p>
          <w:p w14:paraId="64226367">
            <w:pPr>
              <w:pageBreakBefore w:val="0"/>
              <w:numPr>
                <w:ilvl w:val="0"/>
                <w:numId w:val="2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40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体育馆报道处美陈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（10分）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，第一名满分，第二名扣3分，第三名扣5分。未提供点位设计，此项不得分。</w:t>
            </w:r>
          </w:p>
        </w:tc>
        <w:tc>
          <w:tcPr>
            <w:tcW w:w="929" w:type="dxa"/>
            <w:tcBorders>
              <w:left w:val="single" w:color="auto" w:sz="4" w:space="0"/>
            </w:tcBorders>
            <w:vAlign w:val="center"/>
          </w:tcPr>
          <w:p w14:paraId="7062BD7E">
            <w:pPr>
              <w:pageBreakBefore w:val="0"/>
              <w:numPr>
                <w:ilvl w:val="0"/>
                <w:numId w:val="0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参照响应文件打分</w:t>
            </w:r>
          </w:p>
        </w:tc>
      </w:tr>
      <w:tr w14:paraId="1EBC7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32" w:type="dxa"/>
            <w:vAlign w:val="center"/>
          </w:tcPr>
          <w:p w14:paraId="0F415DF0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6" w:type="dxa"/>
            <w:vAlign w:val="center"/>
          </w:tcPr>
          <w:p w14:paraId="57E7E3C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履约能力</w:t>
            </w:r>
          </w:p>
        </w:tc>
        <w:tc>
          <w:tcPr>
            <w:tcW w:w="451" w:type="dxa"/>
            <w:vAlign w:val="center"/>
          </w:tcPr>
          <w:p w14:paraId="1702F78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14:paraId="5C8B521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分</w:t>
            </w:r>
          </w:p>
        </w:tc>
        <w:tc>
          <w:tcPr>
            <w:tcW w:w="6425" w:type="dxa"/>
            <w:tcBorders>
              <w:right w:val="single" w:color="auto" w:sz="4" w:space="0"/>
            </w:tcBorders>
            <w:vAlign w:val="center"/>
          </w:tcPr>
          <w:p w14:paraId="524A322A">
            <w:pPr>
              <w:pageBreakBefore w:val="0"/>
              <w:numPr>
                <w:ilvl w:val="0"/>
                <w:numId w:val="3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40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有效业绩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：2023年1月1日至今，毕业典礼/大型活动布展、氛围营造类项目，合同金额≥5万元；</w:t>
            </w:r>
          </w:p>
          <w:p w14:paraId="2CB26DE4">
            <w:pPr>
              <w:pageBreakBefore w:val="0"/>
              <w:numPr>
                <w:ilvl w:val="0"/>
                <w:numId w:val="3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40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每提供1项有效业绩得2分，满分10分；</w:t>
            </w:r>
          </w:p>
          <w:p w14:paraId="7314F1E8">
            <w:pPr>
              <w:pageBreakBefore w:val="0"/>
              <w:numPr>
                <w:ilvl w:val="0"/>
                <w:numId w:val="3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40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须提供合同关键页复印件（服务内容、合同金额、签订时间、双方盖章）。</w:t>
            </w:r>
          </w:p>
        </w:tc>
        <w:tc>
          <w:tcPr>
            <w:tcW w:w="929" w:type="dxa"/>
            <w:tcBorders>
              <w:left w:val="single" w:color="auto" w:sz="4" w:space="0"/>
            </w:tcBorders>
            <w:vAlign w:val="center"/>
          </w:tcPr>
          <w:p w14:paraId="445586AD">
            <w:pPr>
              <w:pageBreakBefore w:val="0"/>
              <w:numPr>
                <w:ilvl w:val="0"/>
                <w:numId w:val="0"/>
              </w:numPr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参照响应文件打分</w:t>
            </w:r>
          </w:p>
        </w:tc>
      </w:tr>
      <w:tr w14:paraId="7C1551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7" w:hRule="atLeast"/>
        </w:trPr>
        <w:tc>
          <w:tcPr>
            <w:tcW w:w="432" w:type="dxa"/>
            <w:vAlign w:val="center"/>
          </w:tcPr>
          <w:p w14:paraId="464DF99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760481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B4470D1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%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076F6F0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分</w:t>
            </w:r>
          </w:p>
        </w:tc>
        <w:tc>
          <w:tcPr>
            <w:tcW w:w="6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154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20" w:leftChars="0" w:right="0" w:rightChars="0" w:firstLine="40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交付时限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(5分）: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提供书面交付时限履约承诺及全流程节点管控方案。方案完备、刚性节点清晰，完全满足2026年9月7日18:00前完成全部物料布置、活动结束后48小时内完成撤场复原的要求，得5分；仅作出基础节点承诺，管控机制不够完善，得3分；未提供相关书面承诺及方案，不得分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 w14:paraId="47EC5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20" w:leftChars="0" w:right="0" w:rightChars="0" w:firstLine="40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安全保障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(5分）:提供书面安全保障服务方案。方案完备，得5分；一般得3分，未提供不得分。</w:t>
            </w:r>
          </w:p>
          <w:p w14:paraId="083E3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20" w:leftChars="0" w:right="0" w:rightChars="0" w:firstLine="40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服务修正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（5分）：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详细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修正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方案，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对采购方合理范围内的服务修正方案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响应及时，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调整优化能力强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分；方案一般的，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得3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</w:rPr>
              <w:t>分；未提供的，不得分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 w14:paraId="0130F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20" w:leftChars="0" w:firstLine="40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质保服务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（5分）：书面承诺活动全程免费提供设备、物料的维修更换服务，质保期7天，得5分；质保期不足7天，本项0分。</w:t>
            </w:r>
          </w:p>
        </w:tc>
        <w:tc>
          <w:tcPr>
            <w:tcW w:w="929" w:type="dxa"/>
            <w:tcBorders>
              <w:left w:val="single" w:color="auto" w:sz="4" w:space="0"/>
            </w:tcBorders>
            <w:vAlign w:val="center"/>
          </w:tcPr>
          <w:p w14:paraId="66EB77F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参照响应文件打分</w:t>
            </w:r>
          </w:p>
        </w:tc>
      </w:tr>
    </w:tbl>
    <w:p w14:paraId="5E8B706E">
      <w:pPr>
        <w:bidi w:val="0"/>
        <w:rPr>
          <w:rFonts w:hint="default" w:asciiTheme="minorHAnsi" w:hAnsiTheme="minorHAnsi" w:eastAsiaTheme="minorEastAsia" w:cstheme="minorBidi"/>
          <w:sz w:val="21"/>
          <w:szCs w:val="22"/>
          <w:lang w:val="en-US" w:eastAsia="zh-CN"/>
        </w:rPr>
      </w:pPr>
    </w:p>
    <w:p w14:paraId="6B08F843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评分说明</w:t>
      </w:r>
      <w:bookmarkStart w:id="0" w:name="_GoBack"/>
      <w:bookmarkEnd w:id="0"/>
    </w:p>
    <w:p w14:paraId="1C72FAE4">
      <w:pPr>
        <w:numPr>
          <w:ilvl w:val="0"/>
          <w:numId w:val="5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本项目采用综合评分法，总分100分，评审得分保留2位小数；</w:t>
      </w:r>
    </w:p>
    <w:p w14:paraId="038BFA0B">
      <w:pPr>
        <w:numPr>
          <w:ilvl w:val="0"/>
          <w:numId w:val="5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评审仅对通过资格性审查、符合性审查的响应文件进行打分，未通过审查的按无效响应处理，不进入评分环节；</w:t>
      </w:r>
    </w:p>
    <w:p w14:paraId="1D4A24D3">
      <w:pPr>
        <w:numPr>
          <w:ilvl w:val="0"/>
          <w:numId w:val="5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评分严格按照本细则执行，所有打分均需有明确的响应文件内容作为核验依据，无依据不得打分；</w:t>
      </w:r>
    </w:p>
    <w:p w14:paraId="7215C454">
      <w:pPr>
        <w:numPr>
          <w:ilvl w:val="0"/>
          <w:numId w:val="5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成交候选人推荐规则：按最终得分从高到低排序，推荐1-2名成交候选人；得分相同的，按响应报价从低到高排序；报价也相同的，按技术方案得分从高到低排序；</w:t>
      </w:r>
    </w:p>
    <w:p w14:paraId="5EC953F2">
      <w:pPr>
        <w:numPr>
          <w:ilvl w:val="0"/>
          <w:numId w:val="5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本细则的最终解释权归本项目评审小组所有。</w:t>
      </w:r>
    </w:p>
    <w:p w14:paraId="77DB817C">
      <w:pPr>
        <w:numPr>
          <w:ilvl w:val="0"/>
          <w:numId w:val="5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评审小组各成员独立打分，汇总后取算术平均值为供应商最终得分；</w:t>
      </w:r>
    </w:p>
    <w:p w14:paraId="27B30656">
      <w:pPr>
        <w:numPr>
          <w:ilvl w:val="0"/>
          <w:numId w:val="5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打分过程中，所有扣分均需在打分表中明确标注扣分依据，无依据不得扣分；</w:t>
      </w:r>
    </w:p>
    <w:p w14:paraId="1562792E">
      <w:pPr>
        <w:numPr>
          <w:ilvl w:val="0"/>
          <w:numId w:val="5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供应商对评分结果有异议的，可在公示期内以书面形式向采购人提出，采购人将按相关规定予以答复；</w:t>
      </w:r>
    </w:p>
    <w:p w14:paraId="415AF1C3">
      <w:pPr>
        <w:numPr>
          <w:ilvl w:val="0"/>
          <w:numId w:val="5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本评分细则未明确的事项，按《政府采购法》及相关法律法规执行。</w:t>
      </w:r>
    </w:p>
    <w:p w14:paraId="4B3AAC0A">
      <w:pPr>
        <w:tabs>
          <w:tab w:val="left" w:pos="666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0" w:h="16820"/>
      <w:pgMar w:top="700" w:right="700" w:bottom="700" w:left="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4AA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94A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10B82"/>
    <w:multiLevelType w:val="singleLevel"/>
    <w:tmpl w:val="CF910B8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BE8CD8A"/>
    <w:multiLevelType w:val="singleLevel"/>
    <w:tmpl w:val="FBE8CD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297A0EB1"/>
    <w:multiLevelType w:val="singleLevel"/>
    <w:tmpl w:val="297A0EB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367E95DB"/>
    <w:multiLevelType w:val="singleLevel"/>
    <w:tmpl w:val="367E95D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5769240A"/>
    <w:multiLevelType w:val="singleLevel"/>
    <w:tmpl w:val="5769240A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934780"/>
    <w:rsid w:val="053A7198"/>
    <w:rsid w:val="09306D58"/>
    <w:rsid w:val="0B112BB9"/>
    <w:rsid w:val="0C0F70F9"/>
    <w:rsid w:val="0DC363ED"/>
    <w:rsid w:val="0EF34AB0"/>
    <w:rsid w:val="109959C2"/>
    <w:rsid w:val="112A0030"/>
    <w:rsid w:val="146A103D"/>
    <w:rsid w:val="17CA65CA"/>
    <w:rsid w:val="1B6823F8"/>
    <w:rsid w:val="1E6E22A0"/>
    <w:rsid w:val="21396D7A"/>
    <w:rsid w:val="220B1BC2"/>
    <w:rsid w:val="24335B6F"/>
    <w:rsid w:val="252F03DB"/>
    <w:rsid w:val="262B2929"/>
    <w:rsid w:val="270D3939"/>
    <w:rsid w:val="2AE632C3"/>
    <w:rsid w:val="2E3217BF"/>
    <w:rsid w:val="326571C3"/>
    <w:rsid w:val="344B54FC"/>
    <w:rsid w:val="392451B6"/>
    <w:rsid w:val="3BDA477E"/>
    <w:rsid w:val="3D631ECC"/>
    <w:rsid w:val="3DB039E8"/>
    <w:rsid w:val="40086EB7"/>
    <w:rsid w:val="40FD5F23"/>
    <w:rsid w:val="47623568"/>
    <w:rsid w:val="4F4E325D"/>
    <w:rsid w:val="5257047F"/>
    <w:rsid w:val="54D44008"/>
    <w:rsid w:val="56E524FD"/>
    <w:rsid w:val="57E74053"/>
    <w:rsid w:val="587A5CA0"/>
    <w:rsid w:val="58D97BE7"/>
    <w:rsid w:val="5AA4447D"/>
    <w:rsid w:val="5AAB75B9"/>
    <w:rsid w:val="5CD32DF8"/>
    <w:rsid w:val="5DAF7444"/>
    <w:rsid w:val="5E1B3A58"/>
    <w:rsid w:val="6098238E"/>
    <w:rsid w:val="61D049AE"/>
    <w:rsid w:val="62752FC8"/>
    <w:rsid w:val="65735178"/>
    <w:rsid w:val="67A05FCC"/>
    <w:rsid w:val="6B3E7FD6"/>
    <w:rsid w:val="6B4D0219"/>
    <w:rsid w:val="6D747CDF"/>
    <w:rsid w:val="6DCA3B5E"/>
    <w:rsid w:val="6F1F1ECC"/>
    <w:rsid w:val="6F4A519B"/>
    <w:rsid w:val="70E80504"/>
    <w:rsid w:val="711F4D80"/>
    <w:rsid w:val="74910EFD"/>
    <w:rsid w:val="78397478"/>
    <w:rsid w:val="7B191EC6"/>
    <w:rsid w:val="7D627B54"/>
    <w:rsid w:val="7E543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1238</Words>
  <Characters>1280</Characters>
  <TotalTime>2</TotalTime>
  <ScaleCrop>false</ScaleCrop>
  <LinksUpToDate>false</LinksUpToDate>
  <CharactersWithSpaces>1280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2025-07-03T03:36:00Z</dcterms:created>
  <dc:creator>Apache POI</dc:creator>
  <cp:lastModifiedBy>魏洁</cp:lastModifiedBy>
  <dcterms:modified xsi:type="dcterms:W3CDTF">2026-07-03T02:52:15Z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eyJoZGlkIjoiNjY0ZGE4ZWZhMmEwMDhkZGRhYzZjMTVhNThhYWNjNzIiLCJ1c2VySWQiOiI0NDA4NjgyNTMifQ==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1CF62BD30A32488EAEBD6D8F53E0F638_13</vt:lpwstr>
  </property>
</Properties>
</file>