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DC6E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附件二：</w:t>
      </w:r>
    </w:p>
    <w:p w14:paraId="096C8189">
      <w:pPr>
        <w:spacing w:line="360" w:lineRule="auto"/>
        <w:ind w:left="0" w:leftChars="0" w:firstLine="658" w:firstLineChars="235"/>
        <w:jc w:val="center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四川师范大学遂宁校区</w:t>
      </w:r>
    </w:p>
    <w:p w14:paraId="4F29FAA6">
      <w:pPr>
        <w:spacing w:line="360" w:lineRule="auto"/>
        <w:ind w:left="0" w:leftChars="0" w:firstLine="658" w:firstLineChars="235"/>
        <w:jc w:val="center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2026年开学典礼布展及物资搭建服务项目评分细则</w:t>
      </w:r>
    </w:p>
    <w:p w14:paraId="704A297E">
      <w:pPr>
        <w:numPr>
          <w:ilvl w:val="0"/>
          <w:numId w:val="1"/>
        </w:numPr>
        <w:ind w:left="0" w:leftChars="0" w:firstLine="640" w:firstLine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评分总则</w:t>
      </w:r>
    </w:p>
    <w:p w14:paraId="28912D24">
      <w:pPr>
        <w:numPr>
          <w:ilvl w:val="0"/>
          <w:numId w:val="2"/>
        </w:numPr>
        <w:ind w:left="0" w:leftChars="0" w:firstLine="744" w:firstLineChars="266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本项目采用综合评分法，总分100分，评审得分保留2位小数；</w:t>
      </w:r>
    </w:p>
    <w:p w14:paraId="28DEC2E6">
      <w:pPr>
        <w:numPr>
          <w:ilvl w:val="0"/>
          <w:numId w:val="2"/>
        </w:numPr>
        <w:ind w:left="0" w:leftChars="0" w:firstLine="744" w:firstLineChars="266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评审仅对通过资格性审查、符合性审查的响应文件进行打分，未通过审查的按无效响应处理，不进入评分环节；</w:t>
      </w:r>
    </w:p>
    <w:p w14:paraId="27741E27">
      <w:pPr>
        <w:numPr>
          <w:ilvl w:val="0"/>
          <w:numId w:val="2"/>
        </w:numPr>
        <w:ind w:left="0" w:leftChars="0" w:firstLine="744" w:firstLineChars="266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评分严格按照本细则执行，所有打分均需有明确的响应文件内容作为核验依据，无依据不得打分；</w:t>
      </w:r>
    </w:p>
    <w:p w14:paraId="4F063AB5">
      <w:pPr>
        <w:numPr>
          <w:ilvl w:val="0"/>
          <w:numId w:val="2"/>
        </w:numPr>
        <w:ind w:left="0" w:leftChars="0" w:firstLine="744" w:firstLineChars="266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成交候选人推荐规则：按最终得分从高到低排序，推荐1-2名成交候选人；得分相同的，按响应报价从低到高排序；报价也相同的，按技术方案得分从高到低排序；</w:t>
      </w:r>
    </w:p>
    <w:p w14:paraId="28EEBC1B">
      <w:pPr>
        <w:numPr>
          <w:ilvl w:val="0"/>
          <w:numId w:val="2"/>
        </w:numPr>
        <w:ind w:left="0" w:leftChars="0" w:firstLine="744" w:firstLineChars="266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本细则的最终解释权归本项目评审小组所有。</w:t>
      </w:r>
    </w:p>
    <w:p w14:paraId="3154E967">
      <w:pPr>
        <w:numPr>
          <w:ilvl w:val="0"/>
          <w:numId w:val="1"/>
        </w:numPr>
        <w:ind w:left="0" w:leftChars="0" w:firstLine="640" w:firstLineChars="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评分细则表（总分100分）</w:t>
      </w:r>
    </w:p>
    <w:tbl>
      <w:tblPr>
        <w:tblStyle w:val="5"/>
        <w:tblpPr w:leftFromText="180" w:rightFromText="180" w:vertAnchor="text" w:horzAnchor="page" w:tblpX="1327" w:tblpY="282"/>
        <w:tblOverlap w:val="never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455"/>
        <w:gridCol w:w="1395"/>
        <w:gridCol w:w="5381"/>
        <w:gridCol w:w="778"/>
      </w:tblGrid>
      <w:tr w14:paraId="7850B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4" w:type="dxa"/>
            <w:noWrap w:val="0"/>
            <w:vAlign w:val="center"/>
          </w:tcPr>
          <w:p w14:paraId="3A509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55" w:type="dxa"/>
            <w:noWrap w:val="0"/>
            <w:vAlign w:val="center"/>
          </w:tcPr>
          <w:p w14:paraId="57469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  <w:t>评分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  <w:t>及权重</w:t>
            </w:r>
          </w:p>
        </w:tc>
        <w:tc>
          <w:tcPr>
            <w:tcW w:w="1395" w:type="dxa"/>
            <w:noWrap w:val="0"/>
            <w:vAlign w:val="center"/>
          </w:tcPr>
          <w:p w14:paraId="4EBBC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  <w:t>分值</w:t>
            </w:r>
          </w:p>
        </w:tc>
        <w:tc>
          <w:tcPr>
            <w:tcW w:w="5381" w:type="dxa"/>
            <w:noWrap w:val="0"/>
            <w:vAlign w:val="center"/>
          </w:tcPr>
          <w:p w14:paraId="5B753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  <w:t>评分标准</w:t>
            </w:r>
          </w:p>
        </w:tc>
        <w:tc>
          <w:tcPr>
            <w:tcW w:w="778" w:type="dxa"/>
            <w:noWrap w:val="0"/>
            <w:vAlign w:val="center"/>
          </w:tcPr>
          <w:p w14:paraId="1F298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  <w:t>备注</w:t>
            </w:r>
          </w:p>
        </w:tc>
      </w:tr>
      <w:tr w14:paraId="36DE8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674" w:type="dxa"/>
            <w:noWrap w:val="0"/>
            <w:vAlign w:val="center"/>
          </w:tcPr>
          <w:p w14:paraId="6BF38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55" w:type="dxa"/>
            <w:noWrap w:val="0"/>
            <w:vAlign w:val="center"/>
          </w:tcPr>
          <w:p w14:paraId="0E769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  <w:t>报价</w:t>
            </w:r>
          </w:p>
          <w:p w14:paraId="17409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61681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  <w:t>分</w:t>
            </w:r>
          </w:p>
        </w:tc>
        <w:tc>
          <w:tcPr>
            <w:tcW w:w="5381" w:type="dxa"/>
            <w:noWrap w:val="0"/>
            <w:vAlign w:val="center"/>
          </w:tcPr>
          <w:p w14:paraId="507274F0">
            <w:pPr>
              <w:numPr>
                <w:ilvl w:val="0"/>
                <w:numId w:val="3"/>
              </w:numPr>
              <w:snapToGrid w:val="0"/>
              <w:ind w:left="0" w:leftChars="0" w:firstLine="420" w:firstLineChars="175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基准价定义：通过资格性、符合性审查的最低有效响应报价为基准价；</w:t>
            </w:r>
          </w:p>
          <w:p w14:paraId="15CFE275">
            <w:pPr>
              <w:numPr>
                <w:ilvl w:val="0"/>
                <w:numId w:val="3"/>
              </w:numPr>
              <w:snapToGrid w:val="0"/>
              <w:ind w:left="0" w:leftChars="0" w:firstLine="420" w:firstLineChars="175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计算公式：价格分＝（基准价÷响应报价）×30；</w:t>
            </w:r>
          </w:p>
          <w:p w14:paraId="4C5D9362">
            <w:pPr>
              <w:numPr>
                <w:ilvl w:val="0"/>
                <w:numId w:val="3"/>
              </w:numPr>
              <w:snapToGrid w:val="0"/>
              <w:ind w:left="0" w:leftChars="0" w:firstLine="420" w:firstLineChars="175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计算规则：四舍五入保留2位小数，最低0分；</w:t>
            </w:r>
          </w:p>
          <w:p w14:paraId="4A9B355B">
            <w:pPr>
              <w:numPr>
                <w:ilvl w:val="0"/>
                <w:numId w:val="3"/>
              </w:numPr>
              <w:snapToGrid w:val="0"/>
              <w:ind w:left="0" w:leftChars="0" w:firstLine="420" w:firstLineChars="175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无效情形：响应报价超过本项目最高限价75477.00元的，本项直接得0分，按无效响应处理。</w:t>
            </w:r>
          </w:p>
        </w:tc>
        <w:tc>
          <w:tcPr>
            <w:tcW w:w="778" w:type="dxa"/>
            <w:noWrap w:val="0"/>
            <w:vAlign w:val="center"/>
          </w:tcPr>
          <w:p w14:paraId="047FC18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参照报价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打分</w:t>
            </w:r>
          </w:p>
        </w:tc>
      </w:tr>
      <w:tr w14:paraId="436F6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674" w:type="dxa"/>
            <w:noWrap w:val="0"/>
            <w:vAlign w:val="center"/>
          </w:tcPr>
          <w:p w14:paraId="2429C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55" w:type="dxa"/>
            <w:noWrap w:val="0"/>
            <w:vAlign w:val="center"/>
          </w:tcPr>
          <w:p w14:paraId="79057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项目实施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方案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（40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3710B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  <w:t>分</w:t>
            </w:r>
          </w:p>
        </w:tc>
        <w:tc>
          <w:tcPr>
            <w:tcW w:w="5381" w:type="dxa"/>
            <w:noWrap w:val="0"/>
            <w:vAlign w:val="center"/>
          </w:tcPr>
          <w:p w14:paraId="6DE74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2" w:firstLineChars="175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设计方案（25分）（效果图须为彩色）</w:t>
            </w:r>
          </w:p>
          <w:p w14:paraId="60E0EA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设计文件完整性（8分）：提供主舞台区、观众区、打卡区、氛围区4个核心区域的高清效果图≥4张，得4分；每缺1个区域效果图扣1分，扣完为止；提供平面布置图、人流动线图、灯光音响布局图、材质规格清单、设计说明5项文件，得4分；每缺1项扣0.8分，扣完为止；</w:t>
            </w:r>
          </w:p>
          <w:p w14:paraId="2615C0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校园文化契合度（7分）：设计方案完整植入四川师范大学校徽、校训、遂宁校区特色标识、2026届开学主题4项核心元素，得4分；每缺1项扣1分，扣完为止；设计风格贴合开学典礼庄重、喜庆的官方定位，无违规、低俗、不符合校园文化的内容，得3分；不符合要求本项0分；</w:t>
            </w:r>
          </w:p>
          <w:p w14:paraId="76E645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创意与落地性（6分）：提供定制化开学主题设计，非通用模板，有明确的创意亮点说明，得3分；通用模板本项0分；设计方案明确标注所有物料的材质、规格、安装方式，可直接落地施工，得3分；无明确落地参数本项0分；</w:t>
            </w:r>
          </w:p>
          <w:p w14:paraId="7B3B1B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视觉效果（4分）：整体视觉体系统一，色彩搭配协调，符合大型活动专业审美标准，得4分；存在明显视觉缺陷、色彩混乱的，每处扣1分，扣完为止。</w:t>
            </w:r>
          </w:p>
          <w:p w14:paraId="0BFD8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2" w:firstLineChars="175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物料配置与技术响应（15分）</w:t>
            </w:r>
          </w:p>
          <w:p w14:paraId="3653A6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采购需求响应完整性（7分）：100%响应采购需求清单中所有物料、设备的名称、数量、规格、技术参数要求，得7分；每有1项物料/设备未响应、数量不足、规格/参数不匹配，扣1分，扣完为止；</w:t>
            </w:r>
          </w:p>
          <w:p w14:paraId="03F37C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物料品质与合规性（5分）：所有物料、设备均明确标注符合国家环保、阻燃、安全标准（GB18585-2001、GB50016-2014等），得3分；未明确标注本项0分；提供核心物料/设备（舞台桁架、LED屏、音响、背景板）的品牌、型号、技术参数、质量检测报告，得2分；每缺1项扣0.5分，扣完为止；</w:t>
            </w:r>
          </w:p>
          <w:p w14:paraId="6AECDC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样品提供（3分）：提供核心物料的实物样品/高清样品照片，与设计方案、采购需求完全匹配，得3分；样品不匹配、未提供本项0分。</w:t>
            </w:r>
          </w:p>
        </w:tc>
        <w:tc>
          <w:tcPr>
            <w:tcW w:w="778" w:type="dxa"/>
            <w:noWrap w:val="0"/>
            <w:vAlign w:val="center"/>
          </w:tcPr>
          <w:p w14:paraId="7436C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参照响应文件打分</w:t>
            </w:r>
          </w:p>
        </w:tc>
      </w:tr>
      <w:tr w14:paraId="7244D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674" w:type="dxa"/>
            <w:noWrap w:val="0"/>
            <w:vAlign w:val="center"/>
          </w:tcPr>
          <w:p w14:paraId="3875A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55" w:type="dxa"/>
            <w:noWrap w:val="0"/>
            <w:vAlign w:val="center"/>
          </w:tcPr>
          <w:p w14:paraId="6995D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现场执行与安全保障</w:t>
            </w:r>
          </w:p>
          <w:p w14:paraId="7D35A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10%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2344A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5381" w:type="dxa"/>
            <w:noWrap w:val="0"/>
            <w:vAlign w:val="center"/>
          </w:tcPr>
          <w:p w14:paraId="6E556D7D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420" w:firstLineChars="17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全流程执行计划（3分）：提供详细的搭建、调试、彩排、活动、撤场全流程执行计划，明确到每日工作内容、责任人、完成时限，得3分；计划不完整、无明确时间节点/责任人，每缺1个环节扣1分，扣完为止；</w:t>
            </w:r>
          </w:p>
          <w:p w14:paraId="382A79E9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420" w:firstLineChars="175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项目人员配置（3分）：完全响应采购文件要求的11类核心岗位人员配置，附人员资质证书（电工、安全员必须持证），得3分；每缺1个核心岗位扣0.3分，核心岗位无资质证书本项0分；</w:t>
            </w:r>
          </w:p>
          <w:p w14:paraId="4E8442B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420" w:firstLineChars="175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安全文明施工方案（2分）：提供完整的安全文明施工方案，明确消防、用电、高空作业、人流管控4项核心安全措施，得2分；每缺1项核心措施扣0.5分，扣完为止；</w:t>
            </w:r>
          </w:p>
          <w:p w14:paraId="5FA0156E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420" w:firstLineChars="175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专项应急预案（2分）：提供暴雨大风、电力中断、核心设备故障、人员拥挤、消防应急5类场景的专项应急预案，明确应急处置流程、责任人、响应时限、应急物资储备，得2分；每缺1类场景预案扣0.4分，扣完为止；无明确处置流程本项0分。</w:t>
            </w:r>
          </w:p>
        </w:tc>
        <w:tc>
          <w:tcPr>
            <w:tcW w:w="778" w:type="dxa"/>
            <w:noWrap w:val="0"/>
            <w:vAlign w:val="center"/>
          </w:tcPr>
          <w:p w14:paraId="01856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参照响应文件打分</w:t>
            </w:r>
          </w:p>
        </w:tc>
      </w:tr>
      <w:tr w14:paraId="6AFC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  <w:jc w:val="center"/>
        </w:trPr>
        <w:tc>
          <w:tcPr>
            <w:tcW w:w="674" w:type="dxa"/>
            <w:noWrap w:val="0"/>
            <w:vAlign w:val="center"/>
          </w:tcPr>
          <w:p w14:paraId="54F0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55" w:type="dxa"/>
            <w:noWrap w:val="0"/>
            <w:vAlign w:val="center"/>
          </w:tcPr>
          <w:p w14:paraId="06A87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服务承诺与保障（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10%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177A7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  <w:t>分</w:t>
            </w:r>
          </w:p>
        </w:tc>
        <w:tc>
          <w:tcPr>
            <w:tcW w:w="5381" w:type="dxa"/>
            <w:noWrap w:val="0"/>
            <w:vAlign w:val="center"/>
          </w:tcPr>
          <w:p w14:paraId="294397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交付时限承诺（2分）：书面承诺严格按照采购文件要求，2026年9月8日12:00前完成全部搭建调试、活动结束后48小时内完成撤场复原，得2分；未承诺本项0分；</w:t>
            </w:r>
          </w:p>
          <w:p w14:paraId="46A307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急响应承诺（3分）：书面承诺活动期间核心设备故障5分钟内响应排查、10分钟内完成修复/备用设备无缝切换，得2分；未承诺本项0分；书面承诺需求变更2小时内响应、4小时内出具优化方案，得1分；未承诺本项0分；</w:t>
            </w:r>
          </w:p>
          <w:p w14:paraId="73C9B2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彩排配合承诺（2分）：书面承诺全程配合校方2次全流程彩排，安排专业技术人员现场值守调试，免费优化调整，得2分；未承诺本项0分；</w:t>
            </w:r>
          </w:p>
          <w:p w14:paraId="02F94B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质保服务承诺（2分）：书面承诺活动全程免费提供设备、物料的维修更换服务，质保期7天，得2分；质保期不足7天本项0分；</w:t>
            </w:r>
          </w:p>
          <w:p w14:paraId="44135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其他合规承诺（1分）：书面承诺本项目不分包、不转包，所有材料真实有效，无隐形消费，得1分；未承诺本项0分。</w:t>
            </w:r>
          </w:p>
        </w:tc>
        <w:tc>
          <w:tcPr>
            <w:tcW w:w="778" w:type="dxa"/>
            <w:noWrap w:val="0"/>
            <w:vAlign w:val="center"/>
          </w:tcPr>
          <w:p w14:paraId="4C53E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参照响应文件打分</w:t>
            </w:r>
          </w:p>
        </w:tc>
      </w:tr>
      <w:tr w14:paraId="163B7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674" w:type="dxa"/>
            <w:noWrap w:val="0"/>
            <w:vAlign w:val="center"/>
          </w:tcPr>
          <w:p w14:paraId="67476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55" w:type="dxa"/>
            <w:noWrap w:val="0"/>
            <w:vAlign w:val="center"/>
          </w:tcPr>
          <w:p w14:paraId="6446AFE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履约能力10%</w:t>
            </w:r>
          </w:p>
        </w:tc>
        <w:tc>
          <w:tcPr>
            <w:tcW w:w="1395" w:type="dxa"/>
            <w:noWrap w:val="0"/>
            <w:vAlign w:val="center"/>
          </w:tcPr>
          <w:p w14:paraId="6B62DD9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10分</w:t>
            </w:r>
          </w:p>
        </w:tc>
        <w:tc>
          <w:tcPr>
            <w:tcW w:w="5381" w:type="dxa"/>
            <w:noWrap w:val="0"/>
            <w:vAlign w:val="center"/>
          </w:tcPr>
          <w:p w14:paraId="3195E9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有效业绩：2023年1月1日至今，开学典礼/大型活动布展、舞台搭建、氛围营造类项目，合同金额≥5万元；</w:t>
            </w:r>
          </w:p>
          <w:p w14:paraId="086A14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每提供1项有效业绩得2分，满分10分；</w:t>
            </w:r>
          </w:p>
          <w:p w14:paraId="1C670C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175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须提供合同关键页复印件（服务内容、合同金额、签订时间、双方盖章）。</w:t>
            </w:r>
          </w:p>
        </w:tc>
        <w:tc>
          <w:tcPr>
            <w:tcW w:w="778" w:type="dxa"/>
            <w:noWrap w:val="0"/>
            <w:vAlign w:val="center"/>
          </w:tcPr>
          <w:p w14:paraId="2E1349D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参照响应文件打分</w:t>
            </w:r>
          </w:p>
        </w:tc>
      </w:tr>
    </w:tbl>
    <w:p w14:paraId="6258A87C">
      <w:pPr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78B922A3">
      <w:pPr>
        <w:numPr>
          <w:ilvl w:val="0"/>
          <w:numId w:val="1"/>
        </w:numPr>
        <w:ind w:left="0" w:leftChars="0" w:firstLine="640" w:firstLine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评分说明</w:t>
      </w:r>
    </w:p>
    <w:p w14:paraId="2A1C60EC">
      <w:pPr>
        <w:numPr>
          <w:ilvl w:val="0"/>
          <w:numId w:val="9"/>
        </w:numPr>
        <w:ind w:left="0" w:leftChars="0" w:firstLine="744" w:firstLineChars="266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评审小组各成员独立打分，汇总后取算术平均值为供应商最终得分；</w:t>
      </w:r>
      <w:bookmarkStart w:id="0" w:name="_GoBack"/>
      <w:bookmarkEnd w:id="0"/>
    </w:p>
    <w:p w14:paraId="306419B9">
      <w:pPr>
        <w:numPr>
          <w:ilvl w:val="0"/>
          <w:numId w:val="9"/>
        </w:numPr>
        <w:ind w:left="0" w:leftChars="0" w:firstLine="744" w:firstLineChars="266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打分过程中，所有扣分均需在打分表中明确标注扣分依据，无依据不得扣分；</w:t>
      </w:r>
    </w:p>
    <w:p w14:paraId="25A9A069">
      <w:pPr>
        <w:numPr>
          <w:ilvl w:val="0"/>
          <w:numId w:val="9"/>
        </w:numPr>
        <w:ind w:left="0" w:leftChars="0" w:firstLine="744" w:firstLineChars="266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供应商对评分结果有异议的，可在公示期内以书面形式向采购人提出，采购人将按相关规定予以答复；</w:t>
      </w:r>
    </w:p>
    <w:p w14:paraId="5F292595">
      <w:pPr>
        <w:numPr>
          <w:ilvl w:val="0"/>
          <w:numId w:val="9"/>
        </w:numPr>
        <w:ind w:left="0" w:leftChars="0" w:firstLine="744" w:firstLineChars="266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本评分细则未明确的事项，按《政府采购法》及相关法律法规执行。</w:t>
      </w:r>
    </w:p>
    <w:p w14:paraId="67F339F6">
      <w:pPr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587190"/>
    <w:multiLevelType w:val="singleLevel"/>
    <w:tmpl w:val="80587190"/>
    <w:lvl w:ilvl="0" w:tentative="0">
      <w:start w:val="1"/>
      <w:numFmt w:val="decimal"/>
      <w:suff w:val="nothing"/>
      <w:lvlText w:val="%1."/>
      <w:lvlJc w:val="left"/>
      <w:rPr>
        <w:rFonts w:hint="default"/>
        <w:b w:val="0"/>
        <w:bCs w:val="0"/>
      </w:rPr>
    </w:lvl>
  </w:abstractNum>
  <w:abstractNum w:abstractNumId="1">
    <w:nsid w:val="94BF7381"/>
    <w:multiLevelType w:val="singleLevel"/>
    <w:tmpl w:val="94BF738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B6BFCDB5"/>
    <w:multiLevelType w:val="singleLevel"/>
    <w:tmpl w:val="B6BFCDB5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D94AED4B"/>
    <w:multiLevelType w:val="singleLevel"/>
    <w:tmpl w:val="D94AED4B"/>
    <w:lvl w:ilvl="0" w:tentative="0">
      <w:start w:val="1"/>
      <w:numFmt w:val="decimal"/>
      <w:suff w:val="nothing"/>
      <w:lvlText w:val="%1."/>
      <w:lvlJc w:val="left"/>
    </w:lvl>
  </w:abstractNum>
  <w:abstractNum w:abstractNumId="4">
    <w:nsid w:val="01A838C2"/>
    <w:multiLevelType w:val="singleLevel"/>
    <w:tmpl w:val="01A838C2"/>
    <w:lvl w:ilvl="0" w:tentative="0">
      <w:start w:val="1"/>
      <w:numFmt w:val="decimal"/>
      <w:suff w:val="nothing"/>
      <w:lvlText w:val="%1."/>
      <w:lvlJc w:val="left"/>
    </w:lvl>
  </w:abstractNum>
  <w:abstractNum w:abstractNumId="5">
    <w:nsid w:val="32B39E02"/>
    <w:multiLevelType w:val="singleLevel"/>
    <w:tmpl w:val="32B39E02"/>
    <w:lvl w:ilvl="0" w:tentative="0">
      <w:start w:val="1"/>
      <w:numFmt w:val="decimal"/>
      <w:suff w:val="nothing"/>
      <w:lvlText w:val="%1."/>
      <w:lvlJc w:val="left"/>
    </w:lvl>
  </w:abstractNum>
  <w:abstractNum w:abstractNumId="6">
    <w:nsid w:val="367E95DB"/>
    <w:multiLevelType w:val="singleLevel"/>
    <w:tmpl w:val="367E95D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6552773D"/>
    <w:multiLevelType w:val="singleLevel"/>
    <w:tmpl w:val="655277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8">
    <w:nsid w:val="67E74C77"/>
    <w:multiLevelType w:val="singleLevel"/>
    <w:tmpl w:val="67E74C77"/>
    <w:lvl w:ilvl="0" w:tentative="0">
      <w:start w:val="1"/>
      <w:numFmt w:val="decimal"/>
      <w:suff w:val="nothing"/>
      <w:lvlText w:val="%1."/>
      <w:lvlJc w:val="left"/>
      <w:rPr>
        <w:rFonts w:hint="default"/>
        <w:b w:val="0"/>
        <w:bCs w:val="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2401D"/>
    <w:rsid w:val="0366516E"/>
    <w:rsid w:val="0B1A2EA5"/>
    <w:rsid w:val="0D2F61C3"/>
    <w:rsid w:val="0D482C64"/>
    <w:rsid w:val="19594DB2"/>
    <w:rsid w:val="2ADC0696"/>
    <w:rsid w:val="324A3CB2"/>
    <w:rsid w:val="38501D3E"/>
    <w:rsid w:val="3CEC238F"/>
    <w:rsid w:val="3F8674CD"/>
    <w:rsid w:val="41DF1BC4"/>
    <w:rsid w:val="41EA4997"/>
    <w:rsid w:val="42F75DBD"/>
    <w:rsid w:val="45DA7C91"/>
    <w:rsid w:val="4DE8448C"/>
    <w:rsid w:val="59ED18BC"/>
    <w:rsid w:val="5D355860"/>
    <w:rsid w:val="66E06495"/>
    <w:rsid w:val="6D533971"/>
    <w:rsid w:val="76625817"/>
    <w:rsid w:val="7A66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99"/>
    <w:pPr>
      <w:spacing w:after="120"/>
    </w:p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2151</Words>
  <Characters>2240</Characters>
  <Lines>0</Lines>
  <Paragraphs>0</Paragraphs>
  <TotalTime>30</TotalTime>
  <ScaleCrop>false</ScaleCrop>
  <LinksUpToDate>false</LinksUpToDate>
  <CharactersWithSpaces>2240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2026-05-29T07:51:00Z</dcterms:created>
  <dc:creator>Administrator</dc:creator>
  <cp:lastModifiedBy>万山红遍</cp:lastModifiedBy>
  <cp:lastPrinted>2026-07-16T09:49:02Z</cp:lastPrinted>
  <dcterms:modified xsi:type="dcterms:W3CDTF">2026-07-16T09:49:05Z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eyJoZGlkIjoiNjY0ZGE4ZWZhMmEwMDhkZGRhYzZjMTVhNThhYWNjNzIiLCJ1c2VySWQiOiIzMTY1NTU5MDcifQ==</vt:lpwstr>
  </property>
  <property fmtid="{D5CDD505-2E9C-101B-9397-08002B2CF9AE}" pid="4" name="ICV">
    <vt:lpwstr>CCB6A18A5F7C4522A1AB3921AFD52CB3_12</vt:lpwstr>
  </property>
</Properties>
</file>