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DC6E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附件二：</w:t>
      </w:r>
    </w:p>
    <w:p w14:paraId="096C8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034" w:firstLineChars="235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四川师范大学遂宁校区</w:t>
      </w:r>
    </w:p>
    <w:p w14:paraId="4F29F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034" w:firstLineChars="235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迎新晚会舞台搭建及布展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服务项目评分细则</w:t>
      </w:r>
    </w:p>
    <w:p w14:paraId="704A29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评分总则</w:t>
      </w:r>
    </w:p>
    <w:p w14:paraId="28912D2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本项目采用综合评分法，总分100分，评审得分保留2位小数；</w:t>
      </w:r>
    </w:p>
    <w:p w14:paraId="28DEC2E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评审仅对通过资格性审查、符合性审查的响应文件进行打分，未通过审查的按无效响应处理，不进入评分环节；</w:t>
      </w:r>
    </w:p>
    <w:p w14:paraId="27741E2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评分严格按照本细则执行，所有打分均需有明确的响应文件内容作为核验依据，无依据不得打分；</w:t>
      </w:r>
    </w:p>
    <w:p w14:paraId="4F063AB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成交候选人推荐规则：按最终得分从高到低排序，推荐1-2名成交候选人；得分相同的，按响应报价从低到高排序；报价也相同的，按技术方案得分从高到低排序；</w:t>
      </w:r>
    </w:p>
    <w:p w14:paraId="28EEBC1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本细则的最终解释权归本项目评审小组所有。</w:t>
      </w:r>
    </w:p>
    <w:p w14:paraId="3154E967">
      <w:pPr>
        <w:numPr>
          <w:ilvl w:val="0"/>
          <w:numId w:val="1"/>
        </w:numPr>
        <w:ind w:left="0" w:leftChars="0" w:firstLine="640" w:firstLine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评分细则表（总分100分）</w:t>
      </w:r>
    </w:p>
    <w:tbl>
      <w:tblPr>
        <w:tblStyle w:val="5"/>
        <w:tblpPr w:leftFromText="180" w:rightFromText="180" w:vertAnchor="text" w:horzAnchor="page" w:tblpX="1327" w:tblpY="282"/>
        <w:tblOverlap w:val="never"/>
        <w:tblW w:w="9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455"/>
        <w:gridCol w:w="1031"/>
        <w:gridCol w:w="5745"/>
        <w:gridCol w:w="778"/>
      </w:tblGrid>
      <w:tr w14:paraId="7850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74" w:type="dxa"/>
            <w:noWrap w:val="0"/>
            <w:vAlign w:val="center"/>
          </w:tcPr>
          <w:p w14:paraId="3A509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455" w:type="dxa"/>
            <w:noWrap w:val="0"/>
            <w:vAlign w:val="center"/>
          </w:tcPr>
          <w:p w14:paraId="57469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评分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及权重</w:t>
            </w:r>
          </w:p>
        </w:tc>
        <w:tc>
          <w:tcPr>
            <w:tcW w:w="1031" w:type="dxa"/>
            <w:noWrap w:val="0"/>
            <w:vAlign w:val="center"/>
          </w:tcPr>
          <w:p w14:paraId="4EBBC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分值</w:t>
            </w:r>
          </w:p>
        </w:tc>
        <w:tc>
          <w:tcPr>
            <w:tcW w:w="5745" w:type="dxa"/>
            <w:noWrap w:val="0"/>
            <w:vAlign w:val="center"/>
          </w:tcPr>
          <w:p w14:paraId="5B753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评分标准</w:t>
            </w:r>
          </w:p>
        </w:tc>
        <w:tc>
          <w:tcPr>
            <w:tcW w:w="778" w:type="dxa"/>
            <w:noWrap w:val="0"/>
            <w:vAlign w:val="center"/>
          </w:tcPr>
          <w:p w14:paraId="1F298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备注</w:t>
            </w:r>
          </w:p>
        </w:tc>
      </w:tr>
      <w:tr w14:paraId="36DE8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674" w:type="dxa"/>
            <w:noWrap w:val="0"/>
            <w:vAlign w:val="center"/>
          </w:tcPr>
          <w:p w14:paraId="6BF38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55" w:type="dxa"/>
            <w:noWrap w:val="0"/>
            <w:vAlign w:val="center"/>
          </w:tcPr>
          <w:p w14:paraId="0E769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报价</w:t>
            </w:r>
          </w:p>
          <w:p w14:paraId="17409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%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31" w:type="dxa"/>
            <w:noWrap w:val="0"/>
            <w:vAlign w:val="center"/>
          </w:tcPr>
          <w:p w14:paraId="61681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分</w:t>
            </w:r>
          </w:p>
        </w:tc>
        <w:tc>
          <w:tcPr>
            <w:tcW w:w="5745" w:type="dxa"/>
            <w:noWrap w:val="0"/>
            <w:vAlign w:val="center"/>
          </w:tcPr>
          <w:p w14:paraId="507274F0">
            <w:pPr>
              <w:numPr>
                <w:ilvl w:val="0"/>
                <w:numId w:val="3"/>
              </w:numPr>
              <w:snapToGrid w:val="0"/>
              <w:ind w:left="0" w:leftChars="0" w:firstLine="420" w:firstLineChars="175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基准价定义：通过资格性、符合性审查的最低有效响应报价为磋商基准价；</w:t>
            </w:r>
          </w:p>
          <w:p w14:paraId="15CFE275">
            <w:pPr>
              <w:numPr>
                <w:ilvl w:val="0"/>
                <w:numId w:val="3"/>
              </w:numPr>
              <w:snapToGrid w:val="0"/>
              <w:ind w:left="0" w:leftChars="0" w:firstLine="420" w:firstLineChars="175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计算公式：价格分＝（基准价÷响应报价）×30；</w:t>
            </w:r>
          </w:p>
          <w:p w14:paraId="4C5D9362">
            <w:pPr>
              <w:numPr>
                <w:ilvl w:val="0"/>
                <w:numId w:val="3"/>
              </w:numPr>
              <w:snapToGrid w:val="0"/>
              <w:ind w:left="0" w:leftChars="0" w:firstLine="420" w:firstLineChars="175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计算规则：四舍五入保留2位小数，最低0分；</w:t>
            </w:r>
          </w:p>
          <w:p w14:paraId="4A9B355B">
            <w:pPr>
              <w:numPr>
                <w:ilvl w:val="0"/>
                <w:numId w:val="3"/>
              </w:numPr>
              <w:snapToGrid w:val="0"/>
              <w:ind w:left="0" w:leftChars="0" w:firstLine="420" w:firstLineChars="175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无效情形：响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应报价超过本项目最高限价90292.00元的，本项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直接得0分，按无效响应处理。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</w:p>
        </w:tc>
        <w:tc>
          <w:tcPr>
            <w:tcW w:w="778" w:type="dxa"/>
            <w:noWrap w:val="0"/>
            <w:vAlign w:val="center"/>
          </w:tcPr>
          <w:p w14:paraId="047FC182">
            <w:pPr>
              <w:snapToGrid w:val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参照报价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打分</w:t>
            </w:r>
          </w:p>
        </w:tc>
      </w:tr>
      <w:tr w14:paraId="436F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674" w:type="dxa"/>
            <w:noWrap w:val="0"/>
            <w:vAlign w:val="center"/>
          </w:tcPr>
          <w:p w14:paraId="2429C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55" w:type="dxa"/>
            <w:noWrap w:val="0"/>
            <w:vAlign w:val="center"/>
          </w:tcPr>
          <w:p w14:paraId="79057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项目实施</w:t>
            </w:r>
            <w:r>
              <w:rPr>
                <w:rFonts w:hint="eastAsia" w:ascii="宋体" w:hAnsi="宋体" w:eastAsia="宋体" w:cs="宋体"/>
                <w:sz w:val="24"/>
              </w:rPr>
              <w:t>方案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（40</w:t>
            </w:r>
            <w:r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  <w:t>%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031" w:type="dxa"/>
            <w:noWrap w:val="0"/>
            <w:vAlign w:val="center"/>
          </w:tcPr>
          <w:p w14:paraId="3710B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  <w:t>分</w:t>
            </w:r>
          </w:p>
        </w:tc>
        <w:tc>
          <w:tcPr>
            <w:tcW w:w="5745" w:type="dxa"/>
            <w:noWrap w:val="0"/>
            <w:vAlign w:val="center"/>
          </w:tcPr>
          <w:p w14:paraId="6DE74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2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设计方案（25分）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（效果图须为彩色）</w:t>
            </w:r>
          </w:p>
          <w:p w14:paraId="60E0EA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设计文件完整性（8分）：提供主舞台区、观众区2个核心区域的高清效果图≥4张，得4分；每缺1个区域效果图扣1分，扣完为止；提供平面布置图、人流动线图、灯光音响布局图、材质规格清单、设计说明5项文件，得4分；每缺1项扣0.8分，扣完为止；</w:t>
            </w:r>
          </w:p>
          <w:p w14:paraId="2615C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校园文化契合度（7分）：设计方案完整植入四川师范大学校徽、遂宁校区特色标识、2026年迎新晚会主题3项核心元素，得3分；每缺1项扣1分，扣完为止；设计风格贴合迎新主题庄重、喜庆的官方定位，无违规、低俗、不符合校园文化的内容，得4分；不符合要求本项0分；</w:t>
            </w:r>
          </w:p>
          <w:p w14:paraId="76E645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创意与落地性（6分）：提供定制化迎新主题设计，非通用模板，有明确的创意亮点说明，得3分；通用模板本项0分；设计方案明确标注所有物料的材质、规格、安装方式，可直接落地施工，得3分；无明确落地参数本项0分；</w:t>
            </w:r>
          </w:p>
          <w:p w14:paraId="7B3B1B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视觉效果（4分）：整体视觉体系统一，色彩搭配协调，符合大型活动专业审美标准，得4分；存在明显视觉缺陷、色彩混乱的，每处扣1分，扣完为止。</w:t>
            </w:r>
          </w:p>
          <w:p w14:paraId="0BFD8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2" w:firstLineChars="175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物料配置与技术响应（15分）</w:t>
            </w:r>
          </w:p>
          <w:p w14:paraId="3653A6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采购需求响应完整性（7分）：100%响应采购需求清单中所有物料、设备的名称、数量、规格、技术参数要求，得7分；每有1项物料/设备未响应、数量不足、规格/参数不匹配，扣1分，扣完为止；</w:t>
            </w:r>
          </w:p>
          <w:p w14:paraId="03F37C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物料品质与合规性（5分）：所有物料、设备均明确标注符合国家环保、阻燃、安全标准（GB18585-2001、GB50016-2014等），得3分；未明确标注本项0分；提供核心物料/设备（舞台桁架、LED屏、音响、背景板）的品牌、型号、技术参数、质量检测报告，得2分；每缺1项扣0.5分，扣完为止；</w:t>
            </w:r>
          </w:p>
          <w:p w14:paraId="6AECDC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样品提供（3分）：提供核心物料的实物样品/高清样品照片，与设计方案、采购需求完全匹配，得3分；样品不匹配、未提供本项0分。</w:t>
            </w:r>
          </w:p>
        </w:tc>
        <w:tc>
          <w:tcPr>
            <w:tcW w:w="778" w:type="dxa"/>
            <w:noWrap w:val="0"/>
            <w:vAlign w:val="center"/>
          </w:tcPr>
          <w:p w14:paraId="7436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参照响应文件打分</w:t>
            </w:r>
          </w:p>
        </w:tc>
      </w:tr>
      <w:tr w14:paraId="7244D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674" w:type="dxa"/>
            <w:noWrap w:val="0"/>
            <w:vAlign w:val="center"/>
          </w:tcPr>
          <w:p w14:paraId="3875A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55" w:type="dxa"/>
            <w:noWrap w:val="0"/>
            <w:vAlign w:val="center"/>
          </w:tcPr>
          <w:p w14:paraId="6995D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现场执行与安全保障</w:t>
            </w:r>
          </w:p>
          <w:p w14:paraId="7D35A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（15</w:t>
            </w:r>
            <w:r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031" w:type="dxa"/>
            <w:noWrap w:val="0"/>
            <w:vAlign w:val="center"/>
          </w:tcPr>
          <w:p w14:paraId="2344A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5745" w:type="dxa"/>
            <w:noWrap w:val="0"/>
            <w:vAlign w:val="center"/>
          </w:tcPr>
          <w:p w14:paraId="6E556D7D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全流程执行计划（3分）：提供详细的搭建、调试、彩排、活动、撤场全流程执行计划，明确到每日工作内容、责任人、完成时限，得3分；计划不完整、无明确时间节点/责任人，每缺1个环节扣1分，扣完为止；</w:t>
            </w:r>
          </w:p>
          <w:p w14:paraId="382A79E9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项目人员配置（5分）：完全响应采购文件要求的11类核心岗位人员配置，附人员资质证书（电工、安全员必须持证），得5分；每缺1个核心岗位扣0.5分，核心岗位无资质证书本项0分；</w:t>
            </w:r>
            <w:bookmarkStart w:id="0" w:name="_GoBack"/>
            <w:bookmarkEnd w:id="0"/>
          </w:p>
          <w:p w14:paraId="4E8442BA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安全文明施工方案（2分）：提供完整的安全文明施工方案，明确消防、用电、高空作业、人流管控4项核心安全措施，得2分；每缺1项核心措施扣0.5分，扣完为止；</w:t>
            </w:r>
          </w:p>
          <w:p w14:paraId="5FA0156E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专项应急预案（5分）：提供暴雨大风、电力中断、核心设备故障、人员拥挤、消防应急5类场景的专项应急预案，明确应急处置流程、责任人、响应时限、应急  物资储备，得5分；每缺1类场景预案扣1分，扣完为止；无明确处置流程本项0分。</w:t>
            </w:r>
          </w:p>
        </w:tc>
        <w:tc>
          <w:tcPr>
            <w:tcW w:w="778" w:type="dxa"/>
            <w:noWrap w:val="0"/>
            <w:vAlign w:val="center"/>
          </w:tcPr>
          <w:p w14:paraId="01856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参照响应文件打分</w:t>
            </w:r>
          </w:p>
        </w:tc>
      </w:tr>
      <w:tr w14:paraId="6AFC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674" w:type="dxa"/>
            <w:noWrap w:val="0"/>
            <w:vAlign w:val="center"/>
          </w:tcPr>
          <w:p w14:paraId="54F0F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55" w:type="dxa"/>
            <w:noWrap w:val="0"/>
            <w:vAlign w:val="center"/>
          </w:tcPr>
          <w:p w14:paraId="06A87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服务承诺与保障（</w:t>
            </w:r>
            <w:r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10%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031" w:type="dxa"/>
            <w:noWrap w:val="0"/>
            <w:vAlign w:val="center"/>
          </w:tcPr>
          <w:p w14:paraId="177A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  <w:t>分</w:t>
            </w:r>
          </w:p>
        </w:tc>
        <w:tc>
          <w:tcPr>
            <w:tcW w:w="5745" w:type="dxa"/>
            <w:noWrap w:val="0"/>
            <w:vAlign w:val="center"/>
          </w:tcPr>
          <w:p w14:paraId="294397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交付时限承诺（2分）：书面承诺严格按照采购文件要求，2026年10月13日12:00前完成全部搭建调试、活动结束后48小时内完成撤场复原，得2分；未承诺本项0分；</w:t>
            </w:r>
          </w:p>
          <w:p w14:paraId="46A30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应急响应承诺（3分）：书面承诺活动期间核心设备故障5分钟内响应排查、10分钟内完成修复/备用设备无缝切换，得2分；未承诺本项0分；书面承诺需求变更2小时内响应、4小时内出具优化方案，得1分；未承诺本项0分；</w:t>
            </w:r>
          </w:p>
          <w:p w14:paraId="73C9B2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彩排配合承诺（2分）：书面承诺全程配合校方2次全流程彩排，安排专业技术人员现场值守调试，免费优化调整，得2分；未承诺本项0分；</w:t>
            </w:r>
          </w:p>
          <w:p w14:paraId="02F94B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质保服务承诺（2分）：书面承诺活动全程免费提供设备、物料的维修更换服务，质保期7天，得2分；质保期不足7天本项0分；</w:t>
            </w:r>
          </w:p>
          <w:p w14:paraId="44135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其他合规承诺（1分）：书面承诺本项目不分包、不转包，所有材料真实有效，无隐性消费，得1分；未承诺本项0分。</w:t>
            </w:r>
          </w:p>
        </w:tc>
        <w:tc>
          <w:tcPr>
            <w:tcW w:w="778" w:type="dxa"/>
            <w:noWrap w:val="0"/>
            <w:vAlign w:val="center"/>
          </w:tcPr>
          <w:p w14:paraId="4C53E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参照响应文件打分</w:t>
            </w:r>
          </w:p>
        </w:tc>
      </w:tr>
      <w:tr w14:paraId="163B7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674" w:type="dxa"/>
            <w:noWrap w:val="0"/>
            <w:vAlign w:val="center"/>
          </w:tcPr>
          <w:p w14:paraId="67476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55" w:type="dxa"/>
            <w:noWrap w:val="0"/>
            <w:vAlign w:val="center"/>
          </w:tcPr>
          <w:p w14:paraId="6446AFE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履约能力10%</w:t>
            </w:r>
          </w:p>
        </w:tc>
        <w:tc>
          <w:tcPr>
            <w:tcW w:w="1031" w:type="dxa"/>
            <w:noWrap w:val="0"/>
            <w:vAlign w:val="center"/>
          </w:tcPr>
          <w:p w14:paraId="6B62DD9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10分</w:t>
            </w:r>
          </w:p>
        </w:tc>
        <w:tc>
          <w:tcPr>
            <w:tcW w:w="5745" w:type="dxa"/>
            <w:noWrap w:val="0"/>
            <w:vAlign w:val="center"/>
          </w:tcPr>
          <w:p w14:paraId="3195E9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有效业绩：2023年1月1日至今，迎新晚会/大型活动布展、舞台搭建、氛围营造类项目，合同金额≥5万元；</w:t>
            </w:r>
          </w:p>
          <w:p w14:paraId="086A14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每提供1项有效业绩得2分，满分10分；</w:t>
            </w:r>
          </w:p>
          <w:p w14:paraId="1C670C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须提供合同关键页复印件（服务内容、合同金额、签订时间、双方盖章）。</w:t>
            </w:r>
          </w:p>
        </w:tc>
        <w:tc>
          <w:tcPr>
            <w:tcW w:w="778" w:type="dxa"/>
            <w:noWrap w:val="0"/>
            <w:vAlign w:val="center"/>
          </w:tcPr>
          <w:p w14:paraId="2E1349D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参照响应文件打分</w:t>
            </w:r>
          </w:p>
        </w:tc>
      </w:tr>
    </w:tbl>
    <w:p w14:paraId="6258A87C">
      <w:pPr>
        <w:rPr>
          <w:rFonts w:hint="eastAsia" w:ascii="宋体" w:hAnsi="宋体" w:eastAsia="宋体" w:cs="宋体"/>
          <w:sz w:val="24"/>
          <w:szCs w:val="24"/>
        </w:rPr>
      </w:pPr>
    </w:p>
    <w:p w14:paraId="78B922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4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评分说明</w:t>
      </w:r>
    </w:p>
    <w:p w14:paraId="2A1C60EC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评审小组各成员独立打分，汇总后取算术平均值为供应商最终得分；</w:t>
      </w:r>
    </w:p>
    <w:p w14:paraId="306419B9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打分过程中，所有扣分均需在打分表中明确标注扣分依据，无依据不得扣分；</w:t>
      </w:r>
    </w:p>
    <w:p w14:paraId="25A9A069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供应商对评分结果有异议的，可在公示期内以书面形式向采购人提出，采购人将按相关规定予以答复；</w:t>
      </w:r>
    </w:p>
    <w:p w14:paraId="5F292595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本评分细则未明确的事项，按《政府采购法》及相关法律法规执行。</w:t>
      </w:r>
    </w:p>
    <w:p w14:paraId="67F339F6"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587190"/>
    <w:multiLevelType w:val="singleLevel"/>
    <w:tmpl w:val="80587190"/>
    <w:lvl w:ilvl="0" w:tentative="0">
      <w:start w:val="1"/>
      <w:numFmt w:val="decimal"/>
      <w:suff w:val="nothing"/>
      <w:lvlText w:val="%1."/>
      <w:lvlJc w:val="left"/>
      <w:rPr>
        <w:rFonts w:hint="default"/>
        <w:b w:val="0"/>
        <w:bCs w:val="0"/>
      </w:rPr>
    </w:lvl>
  </w:abstractNum>
  <w:abstractNum w:abstractNumId="1">
    <w:nsid w:val="94BF7381"/>
    <w:multiLevelType w:val="singleLevel"/>
    <w:tmpl w:val="94BF738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B6BFCDB5"/>
    <w:multiLevelType w:val="singleLevel"/>
    <w:tmpl w:val="B6BFCDB5"/>
    <w:lvl w:ilvl="0" w:tentative="0">
      <w:start w:val="1"/>
      <w:numFmt w:val="decimal"/>
      <w:suff w:val="nothing"/>
      <w:lvlText w:val="%1."/>
      <w:lvlJc w:val="left"/>
    </w:lvl>
  </w:abstractNum>
  <w:abstractNum w:abstractNumId="3">
    <w:nsid w:val="D94AED4B"/>
    <w:multiLevelType w:val="singleLevel"/>
    <w:tmpl w:val="D94AED4B"/>
    <w:lvl w:ilvl="0" w:tentative="0">
      <w:start w:val="1"/>
      <w:numFmt w:val="decimal"/>
      <w:suff w:val="nothing"/>
      <w:lvlText w:val="%1."/>
      <w:lvlJc w:val="left"/>
    </w:lvl>
  </w:abstractNum>
  <w:abstractNum w:abstractNumId="4">
    <w:nsid w:val="01A838C2"/>
    <w:multiLevelType w:val="singleLevel"/>
    <w:tmpl w:val="01A838C2"/>
    <w:lvl w:ilvl="0" w:tentative="0">
      <w:start w:val="1"/>
      <w:numFmt w:val="decimal"/>
      <w:suff w:val="nothing"/>
      <w:lvlText w:val="%1."/>
      <w:lvlJc w:val="left"/>
    </w:lvl>
  </w:abstractNum>
  <w:abstractNum w:abstractNumId="5">
    <w:nsid w:val="32B39E02"/>
    <w:multiLevelType w:val="singleLevel"/>
    <w:tmpl w:val="32B39E02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367E95DB"/>
    <w:multiLevelType w:val="singleLevel"/>
    <w:tmpl w:val="367E95D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6552773D"/>
    <w:multiLevelType w:val="singleLevel"/>
    <w:tmpl w:val="655277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8">
    <w:nsid w:val="67E74C77"/>
    <w:multiLevelType w:val="singleLevel"/>
    <w:tmpl w:val="67E74C77"/>
    <w:lvl w:ilvl="0" w:tentative="0">
      <w:start w:val="1"/>
      <w:numFmt w:val="decimal"/>
      <w:suff w:val="nothing"/>
      <w:lvlText w:val="%1."/>
      <w:lvlJc w:val="left"/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2401D"/>
    <w:rsid w:val="075E138C"/>
    <w:rsid w:val="0AC24DB3"/>
    <w:rsid w:val="0B1A2EA5"/>
    <w:rsid w:val="0D482C64"/>
    <w:rsid w:val="0E8D2557"/>
    <w:rsid w:val="1F1620F4"/>
    <w:rsid w:val="251967FE"/>
    <w:rsid w:val="2ADC0696"/>
    <w:rsid w:val="317A2620"/>
    <w:rsid w:val="324A3CB2"/>
    <w:rsid w:val="34BE4875"/>
    <w:rsid w:val="38501D3E"/>
    <w:rsid w:val="3BF61BE5"/>
    <w:rsid w:val="3CEC238F"/>
    <w:rsid w:val="3F8674CD"/>
    <w:rsid w:val="41DF1BC4"/>
    <w:rsid w:val="41EA4997"/>
    <w:rsid w:val="42F75DBD"/>
    <w:rsid w:val="45A40E50"/>
    <w:rsid w:val="45DA7C91"/>
    <w:rsid w:val="539914A5"/>
    <w:rsid w:val="5D355860"/>
    <w:rsid w:val="60D263CF"/>
    <w:rsid w:val="61D95429"/>
    <w:rsid w:val="66E06495"/>
    <w:rsid w:val="6D533971"/>
    <w:rsid w:val="7A6660F8"/>
    <w:rsid w:val="7A8136E7"/>
    <w:rsid w:val="7DA8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99"/>
    <w:pPr>
      <w:spacing w:after="120"/>
    </w:p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2145</Words>
  <Characters>2233</Characters>
  <Lines>0</Lines>
  <Paragraphs>0</Paragraphs>
  <TotalTime>47</TotalTime>
  <ScaleCrop>false</ScaleCrop>
  <LinksUpToDate>false</LinksUpToDate>
  <CharactersWithSpaces>2235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2026-05-29T07:51:00Z</dcterms:created>
  <dc:creator>Administrator</dc:creator>
  <cp:lastModifiedBy>微蜉蝣</cp:lastModifiedBy>
  <dcterms:modified xsi:type="dcterms:W3CDTF">2026-09-23T09:20:06Z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eyJoZGlkIjoiNjY0ZGE4ZWZhMmEwMDhkZGRhYzZjMTVhNThhYWNjNzIiLCJ1c2VySWQiOiI2MzA5MzMxMTkifQ==</vt:lpwstr>
  </property>
  <property fmtid="{D5CDD505-2E9C-101B-9397-08002B2CF9AE}" pid="4" name="ICV">
    <vt:lpwstr>5468FCB59CC74BC7A43A85E7EF44D5DF_13</vt:lpwstr>
  </property>
</Properties>
</file>