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DC6E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附件二：</w:t>
      </w:r>
    </w:p>
    <w:p w14:paraId="4F29F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1034" w:firstLineChars="235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四川师范大学遂宁校区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2027届毕业生秋季双选会布展及物资搭建服务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项目评分细则</w:t>
      </w:r>
    </w:p>
    <w:p w14:paraId="704A297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评分总则</w:t>
      </w:r>
    </w:p>
    <w:p w14:paraId="28912D2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本项目采用综合评分法，总分100分，评审得分保留2位小数；</w:t>
      </w:r>
    </w:p>
    <w:p w14:paraId="28DEC2E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评审仅对通过资格性审查、符合性审查的响应文件进行打分，未通过审查的按无效响应处理，不进入评分环节；</w:t>
      </w:r>
    </w:p>
    <w:p w14:paraId="27741E2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评分严格按照本细则执行，所有打分均需有明确的响应文件内容作为核验依据，无依据不得打分；</w:t>
      </w:r>
    </w:p>
    <w:p w14:paraId="4F063AB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成交候选人推荐规则：按最终得分从高到低排序，推荐1-2名成交候选人；得分相同的，按响应报价从低到高排序；报价也相同的，按技术方案得分从高到低排序；</w:t>
      </w:r>
    </w:p>
    <w:p w14:paraId="28EEBC1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本细则的最终解释权归本项目评审小组所有。</w:t>
      </w:r>
    </w:p>
    <w:p w14:paraId="3154E967">
      <w:pPr>
        <w:numPr>
          <w:ilvl w:val="0"/>
          <w:numId w:val="1"/>
        </w:numPr>
        <w:ind w:left="0" w:leftChars="0" w:firstLine="640" w:firstLine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评分细则表（总分100分）</w:t>
      </w:r>
    </w:p>
    <w:tbl>
      <w:tblPr>
        <w:tblStyle w:val="5"/>
        <w:tblpPr w:leftFromText="180" w:rightFromText="180" w:vertAnchor="text" w:horzAnchor="page" w:tblpX="1327" w:tblpY="282"/>
        <w:tblOverlap w:val="never"/>
        <w:tblW w:w="9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455"/>
        <w:gridCol w:w="1031"/>
        <w:gridCol w:w="5745"/>
        <w:gridCol w:w="778"/>
      </w:tblGrid>
      <w:tr w14:paraId="7850B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74" w:type="dxa"/>
            <w:noWrap w:val="0"/>
            <w:vAlign w:val="center"/>
          </w:tcPr>
          <w:p w14:paraId="3A509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455" w:type="dxa"/>
            <w:noWrap w:val="0"/>
            <w:vAlign w:val="center"/>
          </w:tcPr>
          <w:p w14:paraId="57469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评分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及权重</w:t>
            </w:r>
          </w:p>
        </w:tc>
        <w:tc>
          <w:tcPr>
            <w:tcW w:w="1031" w:type="dxa"/>
            <w:noWrap w:val="0"/>
            <w:vAlign w:val="center"/>
          </w:tcPr>
          <w:p w14:paraId="4EBBC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分值</w:t>
            </w:r>
          </w:p>
        </w:tc>
        <w:tc>
          <w:tcPr>
            <w:tcW w:w="5745" w:type="dxa"/>
            <w:noWrap w:val="0"/>
            <w:vAlign w:val="center"/>
          </w:tcPr>
          <w:p w14:paraId="5B753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评分标准</w:t>
            </w:r>
          </w:p>
        </w:tc>
        <w:tc>
          <w:tcPr>
            <w:tcW w:w="778" w:type="dxa"/>
            <w:noWrap w:val="0"/>
            <w:vAlign w:val="center"/>
          </w:tcPr>
          <w:p w14:paraId="1F298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备注</w:t>
            </w:r>
          </w:p>
        </w:tc>
      </w:tr>
      <w:tr w14:paraId="36DE8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674" w:type="dxa"/>
            <w:noWrap w:val="0"/>
            <w:vAlign w:val="center"/>
          </w:tcPr>
          <w:p w14:paraId="6BF38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55" w:type="dxa"/>
            <w:noWrap w:val="0"/>
            <w:vAlign w:val="center"/>
          </w:tcPr>
          <w:p w14:paraId="0E769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报价</w:t>
            </w:r>
          </w:p>
          <w:p w14:paraId="17409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%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31" w:type="dxa"/>
            <w:noWrap w:val="0"/>
            <w:vAlign w:val="center"/>
          </w:tcPr>
          <w:p w14:paraId="61681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  <w:t>分</w:t>
            </w:r>
          </w:p>
        </w:tc>
        <w:tc>
          <w:tcPr>
            <w:tcW w:w="5745" w:type="dxa"/>
            <w:noWrap w:val="0"/>
            <w:vAlign w:val="center"/>
          </w:tcPr>
          <w:p w14:paraId="507274F0">
            <w:pPr>
              <w:numPr>
                <w:ilvl w:val="0"/>
                <w:numId w:val="3"/>
              </w:numPr>
              <w:snapToGrid w:val="0"/>
              <w:ind w:left="0" w:leftChars="0" w:firstLine="420" w:firstLineChars="175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基准价定义：通过资格性、符合性审查的最低有效响应报价为磋商基准价；</w:t>
            </w:r>
          </w:p>
          <w:p w14:paraId="15CFE275">
            <w:pPr>
              <w:numPr>
                <w:ilvl w:val="0"/>
                <w:numId w:val="3"/>
              </w:numPr>
              <w:snapToGrid w:val="0"/>
              <w:ind w:left="0" w:leftChars="0" w:firstLine="420" w:firstLineChars="175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计算公式：价格分＝（基准价÷响应报价）×25；</w:t>
            </w:r>
          </w:p>
          <w:p w14:paraId="4C5D9362">
            <w:pPr>
              <w:numPr>
                <w:ilvl w:val="0"/>
                <w:numId w:val="3"/>
              </w:numPr>
              <w:snapToGrid w:val="0"/>
              <w:ind w:left="0" w:leftChars="0" w:firstLine="420" w:firstLineChars="175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计算规则：四舍五入保留2位小数，最低0分；</w:t>
            </w:r>
          </w:p>
          <w:p w14:paraId="4A9B355B">
            <w:pPr>
              <w:numPr>
                <w:ilvl w:val="0"/>
                <w:numId w:val="3"/>
              </w:numPr>
              <w:snapToGrid w:val="0"/>
              <w:ind w:left="0" w:leftChars="0" w:firstLine="420" w:firstLineChars="175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无效情形：响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应报价超过本项目最高限价92561.00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元的，本项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直接得0分，按无效响应处理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</w:p>
        </w:tc>
        <w:tc>
          <w:tcPr>
            <w:tcW w:w="778" w:type="dxa"/>
            <w:noWrap w:val="0"/>
            <w:vAlign w:val="center"/>
          </w:tcPr>
          <w:p w14:paraId="047FC182">
            <w:pPr>
              <w:snapToGrid w:val="0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参照报价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打分</w:t>
            </w:r>
          </w:p>
        </w:tc>
      </w:tr>
      <w:tr w14:paraId="436F6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674" w:type="dxa"/>
            <w:noWrap w:val="0"/>
            <w:vAlign w:val="center"/>
          </w:tcPr>
          <w:p w14:paraId="2429C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55" w:type="dxa"/>
            <w:noWrap w:val="0"/>
            <w:vAlign w:val="center"/>
          </w:tcPr>
          <w:p w14:paraId="79057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项目实施</w:t>
            </w:r>
            <w:r>
              <w:rPr>
                <w:rFonts w:hint="eastAsia" w:ascii="宋体" w:hAnsi="宋体" w:eastAsia="宋体" w:cs="宋体"/>
                <w:sz w:val="24"/>
              </w:rPr>
              <w:t>方案</w:t>
            </w: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（40</w:t>
            </w:r>
            <w:r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  <w:t>%</w:t>
            </w: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031" w:type="dxa"/>
            <w:noWrap w:val="0"/>
            <w:vAlign w:val="center"/>
          </w:tcPr>
          <w:p w14:paraId="3710B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  <w:t>分</w:t>
            </w:r>
          </w:p>
        </w:tc>
        <w:tc>
          <w:tcPr>
            <w:tcW w:w="5745" w:type="dxa"/>
            <w:noWrap w:val="0"/>
            <w:vAlign w:val="center"/>
          </w:tcPr>
          <w:p w14:paraId="6DE74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2" w:firstLineChars="175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设计方案（25分）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（效果图须为彩色）</w:t>
            </w:r>
          </w:p>
          <w:p w14:paraId="60E0EA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设计文件完整性（8分）：提供“秋季双选会”主席台及背景的设计、物料搭建（至少含尺寸与现场规模匹配的1个主背景板）的高清效果图≥4张，得4分；每缺1个区域效果图扣1分，扣完为止；提供平面布置图、人流动线图、材质规格清单、设计说明4项文件，得4分；每缺1项扣1分，扣完为止；</w:t>
            </w:r>
          </w:p>
          <w:p w14:paraId="2615C0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校园文化契合度（7分）：设计方案完整植入四川师范大学校徽、遂宁校区特色标识、就业创业服务标识、2027届毕业生秋季双选会主题4项核心元素，得4分；每缺1项扣1分，扣完为止；设计风格贴合就业主题庄重、正式的官方定位，无违规、低俗、不符合校园文化的内容，得3分；不符合要求本项0分；</w:t>
            </w:r>
          </w:p>
          <w:p w14:paraId="76E645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创意与落地性（6分）：提供定制化秋季双选会主题设计，非通用模板，有明确的创意亮点说明，得3分；通用模板本项0分；设计方案明确标注所有物料的材质、规格、安装方式，可直接落地施工，得3分；无明确落地参数本项0分；</w:t>
            </w:r>
          </w:p>
          <w:p w14:paraId="7B3B1B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视觉效果（4分）：整体视觉体系统一，色彩搭配协调，符合大型活动专业审美标准，得4分；存在明显视觉缺陷、色彩混乱的，每处扣1分，扣完为止。</w:t>
            </w:r>
          </w:p>
          <w:p w14:paraId="0BFD8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2" w:firstLineChars="175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物料配置与技术响应（15分）</w:t>
            </w:r>
          </w:p>
          <w:p w14:paraId="3653A6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采购需求响应完整性（7分）：100%响应采购需求清单中所有物料、设备的名称、数量、规格、技术参数要求，得7分；每有1项物料/设备未响应、数量不足、规格/参数不匹配，扣1分，扣完为止；</w:t>
            </w:r>
          </w:p>
          <w:p w14:paraId="03F37C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物料品质与合规性（5分）：所有物料、设备均明确标注符合国家环保、阻燃、安全标准（GB18585-2001、GB50016-2014等），得3分；未明确标注本项0分；提供核心物料/设备（主席台及背景的设计、桁架、横幅、标识牌、桌椅凳、桌布、帐篷）的品牌、型号、技术参数、质量检测报告，得2分；每缺1项扣0.5分，扣完为止；</w:t>
            </w:r>
          </w:p>
          <w:p w14:paraId="6AECDC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样品提供（3分）：提供核心物料的实物样品/高清样品照片，与设计方案、采购需求完全匹配，得3分；样品不匹配、未提供本项0分。</w:t>
            </w:r>
          </w:p>
        </w:tc>
        <w:tc>
          <w:tcPr>
            <w:tcW w:w="778" w:type="dxa"/>
            <w:noWrap w:val="0"/>
            <w:vAlign w:val="center"/>
          </w:tcPr>
          <w:p w14:paraId="7436C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参照响应文件打分</w:t>
            </w:r>
          </w:p>
        </w:tc>
      </w:tr>
      <w:tr w14:paraId="7244D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674" w:type="dxa"/>
            <w:noWrap w:val="0"/>
            <w:vAlign w:val="center"/>
          </w:tcPr>
          <w:p w14:paraId="3875A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55" w:type="dxa"/>
            <w:noWrap w:val="0"/>
            <w:vAlign w:val="center"/>
          </w:tcPr>
          <w:p w14:paraId="6995D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现场执行与安全保障</w:t>
            </w:r>
          </w:p>
          <w:p w14:paraId="7D35A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（15</w:t>
            </w:r>
            <w:r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031" w:type="dxa"/>
            <w:noWrap w:val="0"/>
            <w:vAlign w:val="center"/>
          </w:tcPr>
          <w:p w14:paraId="2344A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分</w:t>
            </w:r>
          </w:p>
        </w:tc>
        <w:tc>
          <w:tcPr>
            <w:tcW w:w="5745" w:type="dxa"/>
            <w:noWrap w:val="0"/>
            <w:vAlign w:val="center"/>
          </w:tcPr>
          <w:p w14:paraId="6E556D7D"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全流程执行计划（3分）：提供详细的搭建、布置、活动、撤场全流程执行计划，明确到每日工作内容、责任人、完成时限，得3分；计划不完整、无明确时间节点/责任人，每缺1个环节扣1分，扣完为止；</w:t>
            </w:r>
          </w:p>
          <w:p w14:paraId="382A79E9"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项目人员配置（5分）：完全响应本次双选会布展所需求的核心岗位人员配置，附人员资质证书（如有电工、安全员必须持证）；每有1个核心岗位加0.5分（上限5分），核心岗位无资质证书不得分；</w:t>
            </w:r>
          </w:p>
          <w:p w14:paraId="4E8442BA"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安全文明施工方案（2分）：提供完整的安全文明施工方案，明确消防、用电、高空作业、人流管控4项核心安全措施，得2分；每缺1项核心措施扣0.5分，扣完为止；</w:t>
            </w:r>
          </w:p>
          <w:p w14:paraId="5FA0156E"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专项应急预案（5分）：提供暴雨大风、电力中断、核心设备故障、人员拥挤、消防应急5类场景的专项应急预案，明确应急处置流程、责任人、响应时限、应急  物资储备，得5分；每缺1类场景预案扣1分，扣完为止；无明确处置流程本项0分。</w:t>
            </w:r>
          </w:p>
        </w:tc>
        <w:tc>
          <w:tcPr>
            <w:tcW w:w="778" w:type="dxa"/>
            <w:noWrap w:val="0"/>
            <w:vAlign w:val="center"/>
          </w:tcPr>
          <w:p w14:paraId="01856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参照响应文件打分</w:t>
            </w:r>
          </w:p>
        </w:tc>
      </w:tr>
      <w:tr w14:paraId="6AFC9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674" w:type="dxa"/>
            <w:noWrap w:val="0"/>
            <w:vAlign w:val="center"/>
          </w:tcPr>
          <w:p w14:paraId="54F0F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55" w:type="dxa"/>
            <w:noWrap w:val="0"/>
            <w:vAlign w:val="center"/>
          </w:tcPr>
          <w:p w14:paraId="06A87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服务承诺与保障（</w:t>
            </w:r>
            <w:r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10%</w:t>
            </w:r>
            <w:r>
              <w:rPr>
                <w:rFonts w:hint="eastAsia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031" w:type="dxa"/>
            <w:noWrap w:val="0"/>
            <w:vAlign w:val="center"/>
          </w:tcPr>
          <w:p w14:paraId="177A7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  <w:t>分</w:t>
            </w:r>
          </w:p>
        </w:tc>
        <w:tc>
          <w:tcPr>
            <w:tcW w:w="5745" w:type="dxa"/>
            <w:noWrap w:val="0"/>
            <w:vAlign w:val="center"/>
          </w:tcPr>
          <w:p w14:paraId="294397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交付时限承诺（2分）：书面承诺严格按照采购文件要求，2026年11月5日17:00前完成全部搭建布置、活动结束后24小时内完成撤场复原，得2分；未承诺本项0分；</w:t>
            </w:r>
          </w:p>
          <w:p w14:paraId="46A30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应急响应承诺（4分）：书面承诺活动期间核心设备故障5分钟内响应排查、10分钟内完成修复/备用设备无缝切换，得2分；未承诺本项0分；书面承诺需求变更2小时内响应、4小时内出具优化方案，得2分；未承诺本项0分；</w:t>
            </w:r>
          </w:p>
          <w:p w14:paraId="73C9B2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场地布置配合承诺（1分）：书面承诺全程配合校方场地布置调试，安排专业技术人员现场值守调试，免费优化调整，得1分；未承诺本项0分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 w14:paraId="02F94B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质保服务承诺（2分）：书面承诺活动全程免费提供设备、物料的维修更换服务，质保期7天，得2分；质保期不足7天本项0分；</w:t>
            </w:r>
          </w:p>
          <w:p w14:paraId="44135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其他合规承诺（1分）：书面承诺本项目不分包、不转包，所有材料真实有效，无隐性消费，得1分；未承诺本项0分。</w:t>
            </w:r>
          </w:p>
        </w:tc>
        <w:tc>
          <w:tcPr>
            <w:tcW w:w="778" w:type="dxa"/>
            <w:noWrap w:val="0"/>
            <w:vAlign w:val="center"/>
          </w:tcPr>
          <w:p w14:paraId="4C53E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参照响应文件打分</w:t>
            </w:r>
          </w:p>
        </w:tc>
      </w:tr>
      <w:tr w14:paraId="163B7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  <w:jc w:val="center"/>
        </w:trPr>
        <w:tc>
          <w:tcPr>
            <w:tcW w:w="674" w:type="dxa"/>
            <w:noWrap w:val="0"/>
            <w:vAlign w:val="center"/>
          </w:tcPr>
          <w:p w14:paraId="67476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kern w:val="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55" w:type="dxa"/>
            <w:noWrap w:val="0"/>
            <w:vAlign w:val="center"/>
          </w:tcPr>
          <w:p w14:paraId="6446AFE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履约能力10%</w:t>
            </w:r>
          </w:p>
        </w:tc>
        <w:tc>
          <w:tcPr>
            <w:tcW w:w="1031" w:type="dxa"/>
            <w:noWrap w:val="0"/>
            <w:vAlign w:val="center"/>
          </w:tcPr>
          <w:p w14:paraId="6B62DD9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10分</w:t>
            </w:r>
          </w:p>
        </w:tc>
        <w:tc>
          <w:tcPr>
            <w:tcW w:w="5745" w:type="dxa"/>
            <w:noWrap w:val="0"/>
            <w:vAlign w:val="center"/>
          </w:tcPr>
          <w:p w14:paraId="3195E9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有效业绩：2024年1月1日至今，招聘会/大型活动布展、舞台搭建、氛围营造类项目，合同金额≥3万元；</w:t>
            </w:r>
          </w:p>
          <w:p w14:paraId="086A14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每提供1项有效业绩得2分，满分10分；</w:t>
            </w:r>
          </w:p>
          <w:p w14:paraId="1C670C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420" w:firstLineChars="175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须提供合同关键页复印件（服务内容、合同金额、签订时间、双方盖章）。</w:t>
            </w:r>
          </w:p>
        </w:tc>
        <w:tc>
          <w:tcPr>
            <w:tcW w:w="778" w:type="dxa"/>
            <w:noWrap w:val="0"/>
            <w:vAlign w:val="center"/>
          </w:tcPr>
          <w:p w14:paraId="2E1349D1">
            <w:pPr>
              <w:snapToGrid w:val="0"/>
              <w:jc w:val="left"/>
              <w:rPr>
                <w:rFonts w:hint="default" w:ascii="Times New Roman" w:hAnsi="Times New Roman" w:eastAsia="宋体" w:cs="Times New Roman"/>
                <w:snapToGrid w:val="0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参照响应文件打分</w:t>
            </w:r>
          </w:p>
        </w:tc>
      </w:tr>
    </w:tbl>
    <w:p w14:paraId="6258A87C">
      <w:pPr>
        <w:rPr>
          <w:rFonts w:hint="eastAsia" w:ascii="宋体" w:hAnsi="宋体" w:eastAsia="宋体" w:cs="宋体"/>
          <w:sz w:val="24"/>
          <w:szCs w:val="24"/>
        </w:rPr>
      </w:pPr>
    </w:p>
    <w:p w14:paraId="78B922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64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评分说明</w:t>
      </w:r>
    </w:p>
    <w:p w14:paraId="2A1C60EC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评审小组各成员独立打分，汇总后取算术平均值为供应商最终得分；</w:t>
      </w:r>
    </w:p>
    <w:p w14:paraId="306419B9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打分过程中，所有扣分均需在打分表中明确标注扣分依据，无依据不得扣分；</w:t>
      </w:r>
    </w:p>
    <w:p w14:paraId="25A9A069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供应商对评分结果有异议的，可在公示期内以书面形式向采购人提出，采购人将按相关规定予以答复；</w:t>
      </w:r>
    </w:p>
    <w:p w14:paraId="5F292595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744" w:firstLineChars="266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本评分细则未明确的事项，按《政府采购法》及相关法律法规执行。</w:t>
      </w:r>
    </w:p>
    <w:p w14:paraId="67F339F6"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587190"/>
    <w:multiLevelType w:val="singleLevel"/>
    <w:tmpl w:val="80587190"/>
    <w:lvl w:ilvl="0" w:tentative="0">
      <w:start w:val="1"/>
      <w:numFmt w:val="decimal"/>
      <w:suff w:val="nothing"/>
      <w:lvlText w:val="%1."/>
      <w:lvlJc w:val="left"/>
      <w:rPr>
        <w:rFonts w:hint="default"/>
        <w:b w:val="0"/>
        <w:bCs w:val="0"/>
      </w:rPr>
    </w:lvl>
  </w:abstractNum>
  <w:abstractNum w:abstractNumId="1">
    <w:nsid w:val="94BF7381"/>
    <w:multiLevelType w:val="singleLevel"/>
    <w:tmpl w:val="94BF738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B6BFCDB5"/>
    <w:multiLevelType w:val="singleLevel"/>
    <w:tmpl w:val="B6BFCDB5"/>
    <w:lvl w:ilvl="0" w:tentative="0">
      <w:start w:val="1"/>
      <w:numFmt w:val="decimal"/>
      <w:suff w:val="nothing"/>
      <w:lvlText w:val="%1."/>
      <w:lvlJc w:val="left"/>
    </w:lvl>
  </w:abstractNum>
  <w:abstractNum w:abstractNumId="3">
    <w:nsid w:val="D94AED4B"/>
    <w:multiLevelType w:val="singleLevel"/>
    <w:tmpl w:val="D94AED4B"/>
    <w:lvl w:ilvl="0" w:tentative="0">
      <w:start w:val="1"/>
      <w:numFmt w:val="decimal"/>
      <w:suff w:val="nothing"/>
      <w:lvlText w:val="%1."/>
      <w:lvlJc w:val="left"/>
    </w:lvl>
  </w:abstractNum>
  <w:abstractNum w:abstractNumId="4">
    <w:nsid w:val="01A838C2"/>
    <w:multiLevelType w:val="singleLevel"/>
    <w:tmpl w:val="01A838C2"/>
    <w:lvl w:ilvl="0" w:tentative="0">
      <w:start w:val="1"/>
      <w:numFmt w:val="decimal"/>
      <w:suff w:val="nothing"/>
      <w:lvlText w:val="%1."/>
      <w:lvlJc w:val="left"/>
    </w:lvl>
  </w:abstractNum>
  <w:abstractNum w:abstractNumId="5">
    <w:nsid w:val="32B39E02"/>
    <w:multiLevelType w:val="singleLevel"/>
    <w:tmpl w:val="32B39E02"/>
    <w:lvl w:ilvl="0" w:tentative="0">
      <w:start w:val="1"/>
      <w:numFmt w:val="decimal"/>
      <w:suff w:val="nothing"/>
      <w:lvlText w:val="%1."/>
      <w:lvlJc w:val="left"/>
    </w:lvl>
  </w:abstractNum>
  <w:abstractNum w:abstractNumId="6">
    <w:nsid w:val="367E95DB"/>
    <w:multiLevelType w:val="singleLevel"/>
    <w:tmpl w:val="367E95D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>
    <w:nsid w:val="6552773D"/>
    <w:multiLevelType w:val="singleLevel"/>
    <w:tmpl w:val="6552773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8">
    <w:nsid w:val="67E74C77"/>
    <w:multiLevelType w:val="singleLevel"/>
    <w:tmpl w:val="67E74C77"/>
    <w:lvl w:ilvl="0" w:tentative="0">
      <w:start w:val="1"/>
      <w:numFmt w:val="decimal"/>
      <w:suff w:val="nothing"/>
      <w:lvlText w:val="%1."/>
      <w:lvlJc w:val="left"/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2401D"/>
    <w:rsid w:val="075E138C"/>
    <w:rsid w:val="090C58D8"/>
    <w:rsid w:val="0AC24DB3"/>
    <w:rsid w:val="0B1A2EA5"/>
    <w:rsid w:val="0D482C64"/>
    <w:rsid w:val="0E8D2557"/>
    <w:rsid w:val="1EDF2C6F"/>
    <w:rsid w:val="1F1620F4"/>
    <w:rsid w:val="251967FE"/>
    <w:rsid w:val="2ADC0696"/>
    <w:rsid w:val="317A2620"/>
    <w:rsid w:val="324A3CB2"/>
    <w:rsid w:val="34BE4875"/>
    <w:rsid w:val="37E2103B"/>
    <w:rsid w:val="38501D3E"/>
    <w:rsid w:val="395B4E7C"/>
    <w:rsid w:val="3BF61BE5"/>
    <w:rsid w:val="3CEC238F"/>
    <w:rsid w:val="3F8674CD"/>
    <w:rsid w:val="40BC30B1"/>
    <w:rsid w:val="41DF1BC4"/>
    <w:rsid w:val="41EA4997"/>
    <w:rsid w:val="42F75DBD"/>
    <w:rsid w:val="45A40E50"/>
    <w:rsid w:val="45DA7C91"/>
    <w:rsid w:val="4FF82FCD"/>
    <w:rsid w:val="523312BB"/>
    <w:rsid w:val="539914A5"/>
    <w:rsid w:val="5D355860"/>
    <w:rsid w:val="60D263CF"/>
    <w:rsid w:val="61D95429"/>
    <w:rsid w:val="66E06495"/>
    <w:rsid w:val="6D533971"/>
    <w:rsid w:val="78CE01B5"/>
    <w:rsid w:val="7A6660F8"/>
    <w:rsid w:val="7A8136E7"/>
    <w:rsid w:val="7DA8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99"/>
    <w:pPr>
      <w:spacing w:after="120"/>
    </w:p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2201</Words>
  <Characters>2283</Characters>
  <Lines>0</Lines>
  <Paragraphs>0</Paragraphs>
  <TotalTime>2</TotalTime>
  <ScaleCrop>false</ScaleCrop>
  <LinksUpToDate>false</LinksUpToDate>
  <CharactersWithSpaces>2285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2026-05-29T07:51:00Z</dcterms:created>
  <dc:creator>Administrator</dc:creator>
  <cp:lastModifiedBy>微蜉蝣</cp:lastModifiedBy>
  <dcterms:modified xsi:type="dcterms:W3CDTF">2026-10-15T07:29:23Z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eyJoZGlkIjoiNjY0ZGE4ZWZhMmEwMDhkZGRhYzZjMTVhNThhYWNjNzIiLCJ1c2VySWQiOiI2MzA5MzMxMTkifQ==</vt:lpwstr>
  </property>
  <property fmtid="{D5CDD505-2E9C-101B-9397-08002B2CF9AE}" pid="4" name="ICV">
    <vt:lpwstr>E63681E9692542DF8914FE8C98792055_13</vt:lpwstr>
  </property>
</Properties>
</file>